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jc w:val="center"/>
        <w:tblLook w:val="04A0" w:firstRow="1" w:lastRow="0" w:firstColumn="1" w:lastColumn="0" w:noHBand="0" w:noVBand="1"/>
      </w:tblPr>
      <w:tblGrid>
        <w:gridCol w:w="562"/>
        <w:gridCol w:w="1843"/>
        <w:gridCol w:w="1843"/>
        <w:gridCol w:w="5670"/>
        <w:gridCol w:w="4076"/>
      </w:tblGrid>
      <w:tr w:rsidR="001C4E87" w:rsidRPr="005134B0" w14:paraId="56E089F6" w14:textId="77777777" w:rsidTr="00B919AF">
        <w:trPr>
          <w:trHeight w:val="592"/>
          <w:jc w:val="center"/>
        </w:trPr>
        <w:tc>
          <w:tcPr>
            <w:tcW w:w="13994" w:type="dxa"/>
            <w:gridSpan w:val="5"/>
            <w:shd w:val="clear" w:color="auto" w:fill="A6A6A6" w:themeFill="background1" w:themeFillShade="A6"/>
            <w:vAlign w:val="center"/>
          </w:tcPr>
          <w:p w14:paraId="262AE6AF" w14:textId="0A3E1A62" w:rsidR="00E35677" w:rsidRPr="005134B0" w:rsidRDefault="003514BB" w:rsidP="007A4598">
            <w:pPr>
              <w:jc w:val="center"/>
              <w:rPr>
                <w:rFonts w:ascii="Times New Roman" w:hAnsi="Times New Roman" w:cs="Times New Roman"/>
                <w:b/>
                <w:sz w:val="20"/>
                <w:szCs w:val="20"/>
                <w:lang w:eastAsia="pl-PL"/>
              </w:rPr>
            </w:pPr>
            <w:r w:rsidRPr="005134B0">
              <w:rPr>
                <w:rFonts w:ascii="Times New Roman" w:hAnsi="Times New Roman" w:cs="Times New Roman"/>
                <w:b/>
                <w:sz w:val="20"/>
                <w:szCs w:val="20"/>
                <w:lang w:eastAsia="pl-PL"/>
              </w:rPr>
              <w:t>U</w:t>
            </w:r>
            <w:r w:rsidR="00E35677" w:rsidRPr="005134B0">
              <w:rPr>
                <w:rFonts w:ascii="Times New Roman" w:hAnsi="Times New Roman" w:cs="Times New Roman"/>
                <w:b/>
                <w:sz w:val="20"/>
                <w:szCs w:val="20"/>
                <w:lang w:eastAsia="pl-PL"/>
              </w:rPr>
              <w:t xml:space="preserve">wagi do projektu </w:t>
            </w:r>
            <w:r w:rsidR="00741A58" w:rsidRPr="005134B0">
              <w:rPr>
                <w:rFonts w:ascii="Times New Roman" w:hAnsi="Times New Roman" w:cs="Times New Roman"/>
                <w:b/>
                <w:sz w:val="20"/>
                <w:szCs w:val="20"/>
                <w:lang w:eastAsia="pl-PL"/>
              </w:rPr>
              <w:t xml:space="preserve">ustawy </w:t>
            </w:r>
            <w:r w:rsidR="006D0AE4" w:rsidRPr="005134B0">
              <w:rPr>
                <w:rFonts w:ascii="Times New Roman" w:hAnsi="Times New Roman" w:cs="Times New Roman"/>
                <w:b/>
                <w:sz w:val="20"/>
                <w:szCs w:val="20"/>
                <w:lang w:eastAsia="pl-PL"/>
              </w:rPr>
              <w:t xml:space="preserve">o </w:t>
            </w:r>
            <w:r w:rsidR="00FD7790" w:rsidRPr="005134B0">
              <w:rPr>
                <w:rFonts w:ascii="Times New Roman" w:hAnsi="Times New Roman" w:cs="Times New Roman"/>
                <w:b/>
                <w:sz w:val="20"/>
                <w:szCs w:val="20"/>
                <w:lang w:eastAsia="pl-PL"/>
              </w:rPr>
              <w:t xml:space="preserve">zmianie ustawy </w:t>
            </w:r>
            <w:r w:rsidR="00403016" w:rsidRPr="005134B0">
              <w:rPr>
                <w:rFonts w:ascii="Times New Roman" w:hAnsi="Times New Roman" w:cs="Times New Roman"/>
                <w:b/>
                <w:sz w:val="20"/>
                <w:szCs w:val="20"/>
                <w:lang w:eastAsia="pl-PL"/>
              </w:rPr>
              <w:t>o Krajowym Rejestrze Sądowym</w:t>
            </w:r>
            <w:r w:rsidR="00A67ED3" w:rsidRPr="005134B0">
              <w:rPr>
                <w:rFonts w:ascii="Times New Roman" w:hAnsi="Times New Roman" w:cs="Times New Roman"/>
                <w:b/>
                <w:sz w:val="20"/>
                <w:szCs w:val="20"/>
                <w:lang w:eastAsia="pl-PL"/>
              </w:rPr>
              <w:t xml:space="preserve"> oraz niektórych innych ustaw</w:t>
            </w:r>
          </w:p>
        </w:tc>
      </w:tr>
      <w:tr w:rsidR="001C4E87" w:rsidRPr="005134B0" w14:paraId="0F5D1353" w14:textId="77777777" w:rsidTr="00B919AF">
        <w:trPr>
          <w:jc w:val="center"/>
        </w:trPr>
        <w:tc>
          <w:tcPr>
            <w:tcW w:w="13994" w:type="dxa"/>
            <w:gridSpan w:val="5"/>
            <w:shd w:val="clear" w:color="auto" w:fill="A6A6A6" w:themeFill="background1" w:themeFillShade="A6"/>
          </w:tcPr>
          <w:p w14:paraId="7F1979A8" w14:textId="77777777" w:rsidR="008842F2" w:rsidRPr="005134B0" w:rsidRDefault="008842F2" w:rsidP="00B01B8A">
            <w:pPr>
              <w:spacing w:before="120" w:after="120"/>
              <w:jc w:val="center"/>
              <w:rPr>
                <w:rFonts w:ascii="Times New Roman" w:hAnsi="Times New Roman" w:cs="Times New Roman"/>
                <w:b/>
                <w:sz w:val="20"/>
                <w:szCs w:val="20"/>
              </w:rPr>
            </w:pPr>
            <w:r w:rsidRPr="005134B0">
              <w:rPr>
                <w:rFonts w:ascii="Times New Roman" w:hAnsi="Times New Roman" w:cs="Times New Roman"/>
                <w:b/>
                <w:sz w:val="20"/>
                <w:szCs w:val="20"/>
              </w:rPr>
              <w:t xml:space="preserve">Uwagi </w:t>
            </w:r>
            <w:r w:rsidR="00865AF4" w:rsidRPr="005134B0">
              <w:rPr>
                <w:rFonts w:ascii="Times New Roman" w:hAnsi="Times New Roman" w:cs="Times New Roman"/>
                <w:b/>
                <w:sz w:val="20"/>
                <w:szCs w:val="20"/>
              </w:rPr>
              <w:t>ogólne</w:t>
            </w:r>
          </w:p>
        </w:tc>
      </w:tr>
      <w:tr w:rsidR="001C4E87" w:rsidRPr="005134B0" w14:paraId="2746B0BC" w14:textId="77777777" w:rsidTr="00B241C8">
        <w:trPr>
          <w:jc w:val="center"/>
        </w:trPr>
        <w:tc>
          <w:tcPr>
            <w:tcW w:w="562" w:type="dxa"/>
          </w:tcPr>
          <w:p w14:paraId="65537CAC" w14:textId="666605A0" w:rsidR="003E5D74" w:rsidRPr="005134B0" w:rsidRDefault="009674FB"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w:t>
            </w:r>
          </w:p>
        </w:tc>
        <w:tc>
          <w:tcPr>
            <w:tcW w:w="1843" w:type="dxa"/>
            <w:vAlign w:val="center"/>
          </w:tcPr>
          <w:p w14:paraId="4EE2AD99" w14:textId="35655D6D" w:rsidR="003E5D74" w:rsidRPr="005134B0" w:rsidRDefault="005B7C0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692A9BA0" w14:textId="1E2B68F3" w:rsidR="003E5D74" w:rsidRPr="005134B0" w:rsidRDefault="005B7C0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22A1292F" w14:textId="7FE768DC" w:rsidR="003E5D74" w:rsidRPr="005134B0" w:rsidRDefault="005B7C03" w:rsidP="00BE7473">
            <w:pPr>
              <w:spacing w:line="240" w:lineRule="exact"/>
              <w:jc w:val="both"/>
              <w:rPr>
                <w:rFonts w:ascii="Times New Roman" w:hAnsi="Times New Roman" w:cs="Times New Roman"/>
                <w:sz w:val="20"/>
                <w:szCs w:val="20"/>
              </w:rPr>
            </w:pPr>
            <w:r w:rsidRPr="005B7C03">
              <w:rPr>
                <w:rFonts w:ascii="Times New Roman" w:hAnsi="Times New Roman" w:cs="Times New Roman"/>
                <w:sz w:val="20"/>
                <w:szCs w:val="20"/>
              </w:rPr>
              <w:t>Obecny art. 25a.1.3 należy zmienić – już nie w każdym przypadku Sąd wszczyna postępowanie o rozwiązanie podmiotu bez przeprowadzenia postępowania likwidacyjnego - umorzenie/odstąpienie.</w:t>
            </w:r>
          </w:p>
        </w:tc>
        <w:tc>
          <w:tcPr>
            <w:tcW w:w="4076" w:type="dxa"/>
          </w:tcPr>
          <w:p w14:paraId="308C06C4" w14:textId="72C6FB81" w:rsidR="005B7C03" w:rsidRPr="005B7C03" w:rsidRDefault="005B7C03" w:rsidP="00F22AC6">
            <w:pPr>
              <w:jc w:val="both"/>
              <w:rPr>
                <w:rFonts w:ascii="Times New Roman" w:hAnsi="Times New Roman" w:cs="Times New Roman"/>
                <w:b/>
                <w:sz w:val="20"/>
                <w:szCs w:val="20"/>
              </w:rPr>
            </w:pPr>
            <w:r w:rsidRPr="005B7C03">
              <w:rPr>
                <w:rFonts w:ascii="Times New Roman" w:hAnsi="Times New Roman" w:cs="Times New Roman"/>
                <w:b/>
                <w:sz w:val="20"/>
                <w:szCs w:val="20"/>
              </w:rPr>
              <w:t xml:space="preserve">Uwaga uwzględniona                                                                                                      </w:t>
            </w:r>
          </w:p>
          <w:p w14:paraId="06EC48A0" w14:textId="77777777" w:rsidR="005B7C03" w:rsidRPr="005B7C03"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Proponuje się nowe brzmienie art. 25a ust. 1 pkt 3:</w:t>
            </w:r>
          </w:p>
          <w:p w14:paraId="1270F2AD" w14:textId="0DBB5758" w:rsidR="002C39F2"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„3) wydano postanowienie o odstąpieniu od postępowania przymuszającego na podstawie art. 24 ust. 3 pkt 2 i 3 lub jego umorzeniu na podstawie art. 24 ust. 4</w:t>
            </w:r>
            <w:r w:rsidR="00984952">
              <w:rPr>
                <w:rFonts w:ascii="Times New Roman" w:hAnsi="Times New Roman" w:cs="Times New Roman"/>
                <w:bCs/>
                <w:sz w:val="20"/>
                <w:szCs w:val="20"/>
              </w:rPr>
              <w:t>;</w:t>
            </w:r>
            <w:r w:rsidR="0083722E">
              <w:rPr>
                <w:rFonts w:ascii="Times New Roman" w:hAnsi="Times New Roman" w:cs="Times New Roman"/>
                <w:bCs/>
                <w:sz w:val="20"/>
                <w:szCs w:val="20"/>
              </w:rPr>
              <w:t>”</w:t>
            </w:r>
            <w:r w:rsidRPr="005B7C03">
              <w:rPr>
                <w:rFonts w:ascii="Times New Roman" w:hAnsi="Times New Roman" w:cs="Times New Roman"/>
                <w:bCs/>
                <w:sz w:val="20"/>
                <w:szCs w:val="20"/>
              </w:rPr>
              <w:t xml:space="preserve">                                                                                                                                  </w:t>
            </w:r>
          </w:p>
          <w:p w14:paraId="68361840" w14:textId="77777777" w:rsidR="002C39F2"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Na potrzeby powyższej zmiany konieczna jest zmiana redakcyjna art. 24 ust. 3 (rozbicie pkt 1 na dwa punkty) poprzez nadanie mu brzmienia:</w:t>
            </w:r>
          </w:p>
          <w:p w14:paraId="020DA3E8" w14:textId="64BC0779" w:rsidR="005B7C03" w:rsidRPr="005B7C03" w:rsidRDefault="002C39F2" w:rsidP="00F22AC6">
            <w:pPr>
              <w:jc w:val="both"/>
              <w:rPr>
                <w:rFonts w:ascii="Times New Roman" w:hAnsi="Times New Roman" w:cs="Times New Roman"/>
                <w:bCs/>
                <w:sz w:val="20"/>
                <w:szCs w:val="20"/>
              </w:rPr>
            </w:pPr>
            <w:r>
              <w:rPr>
                <w:rFonts w:ascii="Times New Roman" w:hAnsi="Times New Roman" w:cs="Times New Roman"/>
                <w:bCs/>
                <w:sz w:val="20"/>
                <w:szCs w:val="20"/>
              </w:rPr>
              <w:t>„</w:t>
            </w:r>
            <w:r w:rsidR="005B7C03" w:rsidRPr="005B7C03">
              <w:rPr>
                <w:rFonts w:ascii="Times New Roman" w:hAnsi="Times New Roman" w:cs="Times New Roman"/>
                <w:bCs/>
                <w:sz w:val="20"/>
                <w:szCs w:val="20"/>
              </w:rPr>
              <w:t>3. Sąd rejestrowy odstępuje od postępowania przymuszającego, o którym mowa w ust. 1 lub 1a, jeżeli w wyniku podjęcia czynności wyjaśniających stwierdzono, że:</w:t>
            </w:r>
          </w:p>
          <w:p w14:paraId="6055A47D" w14:textId="28599677" w:rsidR="005B7C03" w:rsidRPr="005B7C03"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1</w:t>
            </w:r>
            <w:r w:rsidR="0083722E">
              <w:rPr>
                <w:rFonts w:ascii="Times New Roman" w:hAnsi="Times New Roman" w:cs="Times New Roman"/>
                <w:bCs/>
                <w:sz w:val="20"/>
                <w:szCs w:val="20"/>
              </w:rPr>
              <w:t xml:space="preserve">) </w:t>
            </w:r>
            <w:r w:rsidRPr="005B7C03">
              <w:rPr>
                <w:rFonts w:ascii="Times New Roman" w:hAnsi="Times New Roman" w:cs="Times New Roman"/>
                <w:bCs/>
                <w:sz w:val="20"/>
                <w:szCs w:val="20"/>
              </w:rPr>
              <w:t>wniosek o wpis do Rejestru lub dokumenty, których złożenie jest obowiązkowe zostały albo</w:t>
            </w:r>
          </w:p>
          <w:p w14:paraId="50944BDE" w14:textId="39C73AD4" w:rsidR="005B7C03" w:rsidRPr="005B7C03"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2)</w:t>
            </w:r>
            <w:r w:rsidR="0083722E">
              <w:rPr>
                <w:rFonts w:ascii="Times New Roman" w:hAnsi="Times New Roman" w:cs="Times New Roman"/>
                <w:bCs/>
                <w:sz w:val="20"/>
                <w:szCs w:val="20"/>
              </w:rPr>
              <w:t xml:space="preserve"> </w:t>
            </w:r>
            <w:r w:rsidR="00984952" w:rsidRPr="00984952">
              <w:rPr>
                <w:rFonts w:ascii="Times New Roman" w:hAnsi="Times New Roman" w:cs="Times New Roman"/>
                <w:bCs/>
                <w:sz w:val="20"/>
                <w:szCs w:val="20"/>
              </w:rPr>
              <w:t>z danych zawartych w aktach rejestrowych wynika, że postępowanie przymuszające nie doprowadzi do złożenia wniosku o wpis lub dokumentów, których złożenie jest obowiązkowe albo</w:t>
            </w:r>
            <w:r w:rsidRPr="005B7C03">
              <w:rPr>
                <w:rFonts w:ascii="Times New Roman" w:hAnsi="Times New Roman" w:cs="Times New Roman"/>
                <w:bCs/>
                <w:sz w:val="20"/>
                <w:szCs w:val="20"/>
              </w:rPr>
              <w:t xml:space="preserve"> </w:t>
            </w:r>
          </w:p>
          <w:p w14:paraId="2B04496F" w14:textId="6BAF5313" w:rsidR="002C39F2" w:rsidRDefault="00984952" w:rsidP="00F22AC6">
            <w:pPr>
              <w:jc w:val="both"/>
              <w:rPr>
                <w:rFonts w:ascii="Times New Roman" w:hAnsi="Times New Roman" w:cs="Times New Roman"/>
                <w:bCs/>
                <w:sz w:val="20"/>
                <w:szCs w:val="20"/>
              </w:rPr>
            </w:pPr>
            <w:r w:rsidRPr="00984952">
              <w:rPr>
                <w:rFonts w:ascii="Times New Roman" w:hAnsi="Times New Roman" w:cs="Times New Roman"/>
                <w:bCs/>
                <w:sz w:val="20"/>
                <w:szCs w:val="20"/>
              </w:rPr>
              <w:t>3)</w:t>
            </w:r>
            <w:r>
              <w:rPr>
                <w:rFonts w:ascii="Times New Roman" w:hAnsi="Times New Roman" w:cs="Times New Roman"/>
                <w:bCs/>
                <w:sz w:val="20"/>
                <w:szCs w:val="20"/>
              </w:rPr>
              <w:t xml:space="preserve"> </w:t>
            </w:r>
            <w:r w:rsidRPr="00984952">
              <w:rPr>
                <w:rFonts w:ascii="Times New Roman" w:hAnsi="Times New Roman" w:cs="Times New Roman"/>
                <w:bCs/>
                <w:sz w:val="20"/>
                <w:szCs w:val="20"/>
              </w:rPr>
              <w:t>z danych zawartych w aktach rejestrowych wynika, że postępowanie przymuszające nie doprowadzi do wykazania okoliczności, o których mowa w ust. 1a pkt 1 albo do wykonania czynności, o których mowa w ust. 1a pkt 2</w:t>
            </w:r>
            <w:r w:rsidR="005B7C03" w:rsidRPr="005B7C03">
              <w:rPr>
                <w:rFonts w:ascii="Times New Roman" w:hAnsi="Times New Roman" w:cs="Times New Roman"/>
                <w:bCs/>
                <w:sz w:val="20"/>
                <w:szCs w:val="20"/>
              </w:rPr>
              <w:t xml:space="preserve">.                                                                       </w:t>
            </w:r>
          </w:p>
          <w:p w14:paraId="1BB5C4AC" w14:textId="0CE3274E" w:rsidR="00BB6735" w:rsidRPr="001D3709" w:rsidRDefault="005B7C03" w:rsidP="00F22AC6">
            <w:pPr>
              <w:jc w:val="both"/>
              <w:rPr>
                <w:rFonts w:ascii="Times New Roman" w:hAnsi="Times New Roman" w:cs="Times New Roman"/>
                <w:bCs/>
                <w:sz w:val="20"/>
                <w:szCs w:val="20"/>
              </w:rPr>
            </w:pPr>
            <w:r w:rsidRPr="005B7C03">
              <w:rPr>
                <w:rFonts w:ascii="Times New Roman" w:hAnsi="Times New Roman" w:cs="Times New Roman"/>
                <w:bCs/>
                <w:sz w:val="20"/>
                <w:szCs w:val="20"/>
              </w:rPr>
              <w:t>W postanowieniu o odstąpieniu od postępowania przymuszającego sąd rejestrowy wskazuje podstawę faktyczną odstąpienia. Postanowienie nie wymaga doręczenia i nie podlega zaskarżeniu.</w:t>
            </w:r>
            <w:r w:rsidR="002C39F2">
              <w:rPr>
                <w:rFonts w:ascii="Times New Roman" w:hAnsi="Times New Roman" w:cs="Times New Roman"/>
                <w:bCs/>
                <w:sz w:val="20"/>
                <w:szCs w:val="20"/>
              </w:rPr>
              <w:t>”</w:t>
            </w:r>
            <w:r w:rsidRPr="005B7C03">
              <w:rPr>
                <w:rFonts w:ascii="Times New Roman" w:hAnsi="Times New Roman" w:cs="Times New Roman"/>
                <w:bCs/>
                <w:sz w:val="20"/>
                <w:szCs w:val="20"/>
              </w:rPr>
              <w:t>.</w:t>
            </w:r>
          </w:p>
        </w:tc>
      </w:tr>
      <w:tr w:rsidR="009674FB" w:rsidRPr="005134B0" w14:paraId="69B29507" w14:textId="77777777" w:rsidTr="00B241C8">
        <w:trPr>
          <w:jc w:val="center"/>
        </w:trPr>
        <w:tc>
          <w:tcPr>
            <w:tcW w:w="562" w:type="dxa"/>
          </w:tcPr>
          <w:p w14:paraId="125C725A" w14:textId="00392421" w:rsidR="009674FB" w:rsidRPr="005134B0" w:rsidRDefault="009674FB"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1843" w:type="dxa"/>
            <w:vAlign w:val="center"/>
          </w:tcPr>
          <w:p w14:paraId="7F9BB478" w14:textId="2E46CEB3" w:rsidR="009674FB" w:rsidRDefault="009674FB"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Rzeszowie</w:t>
            </w:r>
          </w:p>
        </w:tc>
        <w:tc>
          <w:tcPr>
            <w:tcW w:w="1843" w:type="dxa"/>
            <w:vAlign w:val="center"/>
          </w:tcPr>
          <w:p w14:paraId="13674E44" w14:textId="0C465EC3" w:rsidR="009674FB" w:rsidRDefault="009674FB"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7D32451D" w14:textId="1EEEA31F" w:rsidR="009674FB" w:rsidRPr="005B7C03" w:rsidRDefault="009674FB" w:rsidP="00BE7473">
            <w:pPr>
              <w:spacing w:line="240" w:lineRule="exact"/>
              <w:jc w:val="both"/>
              <w:rPr>
                <w:rFonts w:ascii="Times New Roman" w:hAnsi="Times New Roman" w:cs="Times New Roman"/>
                <w:sz w:val="20"/>
                <w:szCs w:val="20"/>
              </w:rPr>
            </w:pPr>
            <w:r>
              <w:rPr>
                <w:rFonts w:ascii="Times New Roman" w:hAnsi="Times New Roman" w:cs="Times New Roman"/>
                <w:sz w:val="20"/>
                <w:szCs w:val="20"/>
              </w:rPr>
              <w:t>A</w:t>
            </w:r>
            <w:r w:rsidRPr="009674FB">
              <w:rPr>
                <w:rFonts w:ascii="Times New Roman" w:hAnsi="Times New Roman" w:cs="Times New Roman"/>
                <w:sz w:val="20"/>
                <w:szCs w:val="20"/>
              </w:rPr>
              <w:t>by umożliwić wskazanym w powołanych przepisach podmiotom komunikację za pośrednictwem PRS (Portalu Rejestrów Sądowych), należy umożliwić założenie dla tych podmiotów kont instytucjonalnych (z informacji posiadanych przez Wydział XII Krajowego Rejestru Sądowego Sądu Rejonowego w Rzeszowie wynika, iż nawet jeśli dany podmiot posiada dostęp do PRS, konto w systemie jest założone dla konkretnej osoby fizycznej (pracownika), co w razie nieobecności danej osoby, całkowicie uniemożliwia komunikację z sądem rejestrowym). Możliwość tworzenia kont instytucjonalnych należy również zapewnić sądom rejestrowym. Dostęp do tych kont powinien być realizowany z poziomu SOW.</w:t>
            </w:r>
          </w:p>
        </w:tc>
        <w:tc>
          <w:tcPr>
            <w:tcW w:w="4076" w:type="dxa"/>
          </w:tcPr>
          <w:p w14:paraId="6DB28896" w14:textId="56AB8830" w:rsidR="009674FB" w:rsidRPr="00FA26CF" w:rsidRDefault="009674FB" w:rsidP="00F22AC6">
            <w:pPr>
              <w:jc w:val="both"/>
              <w:rPr>
                <w:rFonts w:ascii="Times New Roman" w:hAnsi="Times New Roman" w:cs="Times New Roman"/>
                <w:b/>
                <w:sz w:val="20"/>
                <w:szCs w:val="20"/>
              </w:rPr>
            </w:pPr>
            <w:r w:rsidRPr="00FA26CF">
              <w:rPr>
                <w:rFonts w:ascii="Times New Roman" w:hAnsi="Times New Roman" w:cs="Times New Roman"/>
                <w:b/>
                <w:sz w:val="20"/>
                <w:szCs w:val="20"/>
              </w:rPr>
              <w:t>Uwaga wyjaśniona</w:t>
            </w:r>
          </w:p>
          <w:p w14:paraId="0C927581" w14:textId="058C2D4D" w:rsidR="009674FB" w:rsidRPr="009674FB" w:rsidRDefault="009674FB" w:rsidP="00F22AC6">
            <w:pPr>
              <w:jc w:val="both"/>
              <w:rPr>
                <w:rFonts w:ascii="Times New Roman" w:hAnsi="Times New Roman" w:cs="Times New Roman"/>
                <w:bCs/>
                <w:sz w:val="20"/>
                <w:szCs w:val="20"/>
              </w:rPr>
            </w:pPr>
            <w:r w:rsidRPr="009674FB">
              <w:rPr>
                <w:rFonts w:ascii="Times New Roman" w:hAnsi="Times New Roman" w:cs="Times New Roman"/>
                <w:bCs/>
                <w:sz w:val="20"/>
                <w:szCs w:val="20"/>
              </w:rPr>
              <w:t>Omawiana w uwadze funkcjonalność została udostępniona 9 sierpnia 2025 r., obecnie obowiązujące rozporządzenie Ministra Sprawiedliwości w sprawie konta w systemie teleinformatycznym obsługującym postępowanie sądowe przewiduje ułatwienia dla podmiotów wpisanych do KRS oraz możliwość korzystania w postępowaniu rejestrowym z kont podmiotów innych niż osoby fizyczne (np. doręczenia elektroniczne, składanie pism i wniosków).</w:t>
            </w:r>
          </w:p>
        </w:tc>
      </w:tr>
      <w:tr w:rsidR="009674FB" w:rsidRPr="005134B0" w14:paraId="6A359173" w14:textId="77777777" w:rsidTr="00B241C8">
        <w:trPr>
          <w:jc w:val="center"/>
        </w:trPr>
        <w:tc>
          <w:tcPr>
            <w:tcW w:w="562" w:type="dxa"/>
          </w:tcPr>
          <w:p w14:paraId="30EF615F" w14:textId="0E26183A" w:rsidR="009674FB" w:rsidRDefault="009674FB"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w:t>
            </w:r>
          </w:p>
        </w:tc>
        <w:tc>
          <w:tcPr>
            <w:tcW w:w="1843" w:type="dxa"/>
            <w:vAlign w:val="center"/>
          </w:tcPr>
          <w:p w14:paraId="6A775166" w14:textId="61184496" w:rsidR="009674FB" w:rsidRDefault="009674FB"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7E7AB8BA" w14:textId="384C2CD1" w:rsidR="009674FB" w:rsidRDefault="009674FB"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450DAF61" w14:textId="5D2D4615" w:rsidR="009674FB" w:rsidRDefault="009674FB" w:rsidP="00BE7473">
            <w:pPr>
              <w:spacing w:line="240" w:lineRule="exact"/>
              <w:jc w:val="both"/>
              <w:rPr>
                <w:rFonts w:ascii="Times New Roman" w:hAnsi="Times New Roman" w:cs="Times New Roman"/>
                <w:sz w:val="20"/>
                <w:szCs w:val="20"/>
              </w:rPr>
            </w:pPr>
            <w:r w:rsidRPr="009674FB">
              <w:rPr>
                <w:rFonts w:ascii="Times New Roman" w:hAnsi="Times New Roman" w:cs="Times New Roman"/>
                <w:sz w:val="20"/>
                <w:szCs w:val="20"/>
              </w:rPr>
              <w:t>Wprowadzając zmianę do art. 10 Ustawy o Krajowym Rejestrze Sądowym należałoby w rozporządzeniu wykonawczym do ustawy w sposób precyzyjny i całościowy określić jakie podmioty lub osoby fizyczne mogą występować o dostęp do elektronicznych akt rejestrowych prowadzonych w Repozytorium Akt Rejestrowych (RAR) jako użytkownik jednorazowy lub użytkownik nazwany. Brak regulacji prawnej w tym zakresie utrudnia sądom rejestrowym odmowę takiego dostępu przy równocześnie statuowanej w art. 10 ust. 1 ustawy o KRS zasadzie jawności akt rejestrowych. Należy zauważyć, że nadanie jednorazowego hasła dostępu do RAR umożliwia przeglądanie dokumentów ze statusem jawności dokumentu jako „ograniczony”.</w:t>
            </w:r>
          </w:p>
        </w:tc>
        <w:tc>
          <w:tcPr>
            <w:tcW w:w="4076" w:type="dxa"/>
          </w:tcPr>
          <w:p w14:paraId="7851C4F7" w14:textId="77777777" w:rsidR="009674FB" w:rsidRPr="009674FB" w:rsidRDefault="009674FB" w:rsidP="00F22AC6">
            <w:pPr>
              <w:jc w:val="both"/>
              <w:rPr>
                <w:rFonts w:ascii="Times New Roman" w:hAnsi="Times New Roman" w:cs="Times New Roman"/>
                <w:b/>
                <w:sz w:val="20"/>
                <w:szCs w:val="20"/>
              </w:rPr>
            </w:pPr>
            <w:r w:rsidRPr="009674FB">
              <w:rPr>
                <w:rFonts w:ascii="Times New Roman" w:hAnsi="Times New Roman" w:cs="Times New Roman"/>
                <w:b/>
                <w:sz w:val="20"/>
                <w:szCs w:val="20"/>
              </w:rPr>
              <w:t>Uwaga nieuwzględniona</w:t>
            </w:r>
          </w:p>
          <w:p w14:paraId="390E0729" w14:textId="24748F3B" w:rsidR="009674FB" w:rsidRPr="009674FB" w:rsidRDefault="009674FB" w:rsidP="00F22AC6">
            <w:pPr>
              <w:jc w:val="both"/>
              <w:rPr>
                <w:rFonts w:ascii="Times New Roman" w:hAnsi="Times New Roman" w:cs="Times New Roman"/>
                <w:bCs/>
                <w:sz w:val="20"/>
                <w:szCs w:val="20"/>
              </w:rPr>
            </w:pPr>
            <w:r w:rsidRPr="009674FB">
              <w:rPr>
                <w:rFonts w:ascii="Times New Roman" w:hAnsi="Times New Roman" w:cs="Times New Roman"/>
                <w:bCs/>
                <w:sz w:val="20"/>
                <w:szCs w:val="20"/>
              </w:rPr>
              <w:t>Należy wskazać, że zgodnie z art. 10 ust. 1 ustawy o KRS każdy ma prawo przeglądania akt rejestrowych podmiotów wpisanych do Rejestru oraz zbioru dokumentów, o którym mowa w art. 9 ust. 6, chyba że ustawa stanowi inaczej. Zgodnie z § 198 ust. 5 rozporządzenia MS - Regulamin urzędowania sądów powszechnych  dokumenty składane do sądu rejestrowego podlegają przed ich udostępnieniem ocenie przez ten sąd w celu ochrony danych osobowych. Zatem w każdym przypadku sąd rejestrowy decyduje o tym</w:t>
            </w:r>
            <w:r w:rsidR="006321C8">
              <w:rPr>
                <w:rFonts w:ascii="Times New Roman" w:hAnsi="Times New Roman" w:cs="Times New Roman"/>
                <w:bCs/>
                <w:sz w:val="20"/>
                <w:szCs w:val="20"/>
              </w:rPr>
              <w:t>,</w:t>
            </w:r>
            <w:r w:rsidRPr="009674FB">
              <w:rPr>
                <w:rFonts w:ascii="Times New Roman" w:hAnsi="Times New Roman" w:cs="Times New Roman"/>
                <w:bCs/>
                <w:sz w:val="20"/>
                <w:szCs w:val="20"/>
              </w:rPr>
              <w:t xml:space="preserve"> komu i jakie dokumenty ma udostępnić. Należy jednocześnie wskazać, że obowiązujące przepisy ustawy o KRS oraz aktów wykonawczych nie posługują się pojęciem użytkownika jednorazowego i użytkownika nazwanego. Ponadto w uwadze jest wskazano, w którym akcie wykonawczym należałoby uregulować kwestię dostępu do akt  użytkownika jednorazowego i użytkownika nazwanego.</w:t>
            </w:r>
          </w:p>
        </w:tc>
      </w:tr>
      <w:tr w:rsidR="006926EE" w:rsidRPr="005134B0" w14:paraId="08AB1D82" w14:textId="77777777" w:rsidTr="00B241C8">
        <w:trPr>
          <w:jc w:val="center"/>
        </w:trPr>
        <w:tc>
          <w:tcPr>
            <w:tcW w:w="562" w:type="dxa"/>
          </w:tcPr>
          <w:p w14:paraId="21C5859C" w14:textId="042FB1E4" w:rsidR="006926EE" w:rsidRDefault="006926EE"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4.</w:t>
            </w:r>
          </w:p>
        </w:tc>
        <w:tc>
          <w:tcPr>
            <w:tcW w:w="1843" w:type="dxa"/>
            <w:vAlign w:val="center"/>
          </w:tcPr>
          <w:p w14:paraId="31A37901" w14:textId="0FA4E0DD" w:rsidR="006926EE" w:rsidRDefault="006926E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6765F234" w14:textId="41CD3693" w:rsidR="006926EE" w:rsidRDefault="006926E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4D09A2BC" w14:textId="0B0A0B10" w:rsidR="006926EE" w:rsidRPr="009674FB" w:rsidRDefault="006926EE" w:rsidP="00BE7473">
            <w:pPr>
              <w:spacing w:line="240" w:lineRule="exact"/>
              <w:jc w:val="both"/>
              <w:rPr>
                <w:rFonts w:ascii="Times New Roman" w:hAnsi="Times New Roman" w:cs="Times New Roman"/>
                <w:sz w:val="20"/>
                <w:szCs w:val="20"/>
              </w:rPr>
            </w:pPr>
            <w:r w:rsidRPr="006926EE">
              <w:rPr>
                <w:rFonts w:ascii="Times New Roman" w:hAnsi="Times New Roman" w:cs="Times New Roman"/>
                <w:sz w:val="20"/>
                <w:szCs w:val="20"/>
              </w:rPr>
              <w:t xml:space="preserve">Jednocześnie wskazuje, że pobieżna lektura projektu i uzasadnienia prowadzi do wniosku, że przedmiotowy projekt nie rozwiązuje </w:t>
            </w:r>
            <w:r w:rsidRPr="006926EE">
              <w:rPr>
                <w:rFonts w:ascii="Times New Roman" w:hAnsi="Times New Roman" w:cs="Times New Roman"/>
                <w:sz w:val="20"/>
                <w:szCs w:val="20"/>
              </w:rPr>
              <w:lastRenderedPageBreak/>
              <w:t>problemów z postępowaniem przymuszającym i o rozwiązanie bez przeprowadzenia postępowania likwidacyjnego, w tym kluczowego, czy referendarze mają kompetencje do nakładania grzywien oraz wydawania postanowienia o rozwiązaniu osób prawnych (w świetle konstytucji - nie mają).</w:t>
            </w:r>
          </w:p>
        </w:tc>
        <w:tc>
          <w:tcPr>
            <w:tcW w:w="4076" w:type="dxa"/>
          </w:tcPr>
          <w:p w14:paraId="70D47BAF" w14:textId="77777777" w:rsidR="006926EE" w:rsidRDefault="006926EE" w:rsidP="00F22AC6">
            <w:pPr>
              <w:jc w:val="both"/>
              <w:rPr>
                <w:rFonts w:ascii="Times New Roman" w:hAnsi="Times New Roman" w:cs="Times New Roman"/>
                <w:b/>
                <w:sz w:val="20"/>
                <w:szCs w:val="20"/>
              </w:rPr>
            </w:pPr>
            <w:r>
              <w:rPr>
                <w:rFonts w:ascii="Times New Roman" w:hAnsi="Times New Roman" w:cs="Times New Roman"/>
                <w:b/>
                <w:sz w:val="20"/>
                <w:szCs w:val="20"/>
              </w:rPr>
              <w:lastRenderedPageBreak/>
              <w:t>Uwaga wyjaśniona</w:t>
            </w:r>
          </w:p>
          <w:p w14:paraId="534F272B" w14:textId="77777777" w:rsidR="006926EE" w:rsidRPr="006926EE" w:rsidRDefault="006926EE" w:rsidP="00F22AC6">
            <w:pPr>
              <w:jc w:val="both"/>
              <w:rPr>
                <w:rFonts w:ascii="Times New Roman" w:hAnsi="Times New Roman" w:cs="Times New Roman"/>
                <w:bCs/>
                <w:sz w:val="20"/>
                <w:szCs w:val="20"/>
              </w:rPr>
            </w:pPr>
            <w:r w:rsidRPr="006926EE">
              <w:rPr>
                <w:rFonts w:ascii="Times New Roman" w:hAnsi="Times New Roman" w:cs="Times New Roman"/>
                <w:bCs/>
                <w:sz w:val="20"/>
                <w:szCs w:val="20"/>
              </w:rPr>
              <w:lastRenderedPageBreak/>
              <w:t>Zasada sądowego wymiaru sprawiedliwości, określona w art. 175 ust. 1 Konstytucji RP, nie oznacza, że wszystkie sprawy i spory dotyczące sytuacji prawnej jednostki muszą być rozstrzygane wyłącznie przez sądy (por. wyrok Trybunału Konstytucyjnego z 8 grudnia 1998 r., K 41/97, OTK 1998 z. 7, poz. 117). Wystarczy, by sądom została zagwarantowana kompetencja do ostatecznej weryfikacji rozstrzygnięcia organu niesądowego. Nie budzi więc wątpliwości, że prawo do sądu jest zachowane na gruncie takich regulacji, które - dopuszczając możliwość uruchomienia postępowania przed sądem powszechnym lub sądem administracyjnym - zapewniają kontrolę sądową rozstrzygnięcia, decyzji czy innego aktu indywidualnego kształtującego sytuację prawną jednostki lub innego podmiotu podobnego (zob. wyroki Trybunału Konstytucyjnego: z 2 czerwca 1999 r., K 34/98, OTK 1999, z. 5, poz. 94, z 14 lipca 2003 r., SK 42/01, OTK 2003, z. 6, poz. 63).</w:t>
            </w:r>
          </w:p>
          <w:p w14:paraId="05B4EB14" w14:textId="239C0F9D" w:rsidR="006926EE" w:rsidRPr="006926EE" w:rsidRDefault="006926EE" w:rsidP="00F22AC6">
            <w:pPr>
              <w:jc w:val="both"/>
              <w:rPr>
                <w:rFonts w:ascii="Times New Roman" w:hAnsi="Times New Roman" w:cs="Times New Roman"/>
                <w:bCs/>
                <w:sz w:val="20"/>
                <w:szCs w:val="20"/>
              </w:rPr>
            </w:pPr>
            <w:r w:rsidRPr="006926EE">
              <w:rPr>
                <w:rFonts w:ascii="Times New Roman" w:hAnsi="Times New Roman" w:cs="Times New Roman"/>
                <w:bCs/>
                <w:sz w:val="20"/>
                <w:szCs w:val="20"/>
              </w:rPr>
              <w:t xml:space="preserve">Jak wyjaśnił Trybunał Konstytucyjny w wyroku z 12 maja 2011 r., P 38/08, konstytucja nie zabrania ustawodawcy podjąć decyzji o zaangażowaniu urzędnika sądowego w rozstrzygnięcie sporu o prawo. Z perspektywy konstytucyjnej istotne jest tylko, aby ostateczne i wiążące rozstrzygnięcie sprawy należało do sądu sprawującego wymiar sprawiedliwości. Beneficjent konstytucyjnego prawa do sądu musi mieć zagwarantowaną proceduralną możliwość przekazania sprawy do właściwego, niezależnego, bezstronnego i niezawisłego sądu. Również na gruncie wiążących Polskę standardów ochrony praw człowieka nie powinno ulegać wątpliwości, że dopuszczalne </w:t>
            </w:r>
            <w:r w:rsidRPr="006926EE">
              <w:rPr>
                <w:rFonts w:ascii="Times New Roman" w:hAnsi="Times New Roman" w:cs="Times New Roman"/>
                <w:bCs/>
                <w:sz w:val="20"/>
                <w:szCs w:val="20"/>
              </w:rPr>
              <w:lastRenderedPageBreak/>
              <w:t>jest nakładanie grzywny za wykroczenia przez organ niebędący sądem niezależnie od tego, czy zostało już wszczęte postępowanie jurysdykcyjne, pod warunkiem zapewnienia sprawcy wykroczenia możliwości żądania rozpoznania sprawy przez sąd. Wskazać w tym zakresie przede wszystkim należy, że zakres zastosowania art. 6 ust. 1 Europejskiej konwencji praw człowieka i podstawowych wolności (</w:t>
            </w:r>
            <w:proofErr w:type="spellStart"/>
            <w:r w:rsidRPr="006926EE">
              <w:rPr>
                <w:rFonts w:ascii="Times New Roman" w:hAnsi="Times New Roman" w:cs="Times New Roman"/>
                <w:bCs/>
                <w:sz w:val="20"/>
                <w:szCs w:val="20"/>
              </w:rPr>
              <w:t>EKPCz</w:t>
            </w:r>
            <w:proofErr w:type="spellEnd"/>
            <w:r w:rsidRPr="006926EE">
              <w:rPr>
                <w:rFonts w:ascii="Times New Roman" w:hAnsi="Times New Roman" w:cs="Times New Roman"/>
                <w:bCs/>
                <w:sz w:val="20"/>
                <w:szCs w:val="20"/>
              </w:rPr>
              <w:t>), statuującego prawo do rzetelnego procesu sądowego, obejmuje w sprawach zarówno cywilnych, jak i karnych fazę poprzedzającą wszczęcie właściwego postępowania przed sądem, fazę toczącego się postępowania sądowego oraz tę po jego zakończeniu (por. P. Hofmański, A. Wróbel w: ˝Konwencja o ochronie praw człowieka i podstawowych wolności˝, t. I. Komentarz do art. 1-18, pod red. L. Garlickiego, Warszawa 2010 r., s. 252).</w:t>
            </w:r>
          </w:p>
        </w:tc>
      </w:tr>
      <w:tr w:rsidR="00E60A5D" w:rsidRPr="005134B0" w14:paraId="62A7AA4C" w14:textId="77777777" w:rsidTr="00B241C8">
        <w:trPr>
          <w:jc w:val="center"/>
        </w:trPr>
        <w:tc>
          <w:tcPr>
            <w:tcW w:w="562" w:type="dxa"/>
          </w:tcPr>
          <w:p w14:paraId="25C67AFC" w14:textId="2182408B" w:rsidR="00E60A5D" w:rsidRDefault="00E60A5D"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5.</w:t>
            </w:r>
          </w:p>
        </w:tc>
        <w:tc>
          <w:tcPr>
            <w:tcW w:w="1843" w:type="dxa"/>
            <w:vAlign w:val="center"/>
          </w:tcPr>
          <w:p w14:paraId="4A68CF3E" w14:textId="0834A172" w:rsidR="00E60A5D" w:rsidRDefault="00E60A5D"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31E3521E" w14:textId="13F77B99" w:rsidR="00E60A5D" w:rsidRDefault="00E60A5D"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78D22582" w14:textId="27E80CB5" w:rsidR="00E60A5D" w:rsidRPr="006926EE" w:rsidRDefault="00E60A5D" w:rsidP="00BE7473">
            <w:pPr>
              <w:spacing w:line="240" w:lineRule="exact"/>
              <w:jc w:val="both"/>
              <w:rPr>
                <w:rFonts w:ascii="Times New Roman" w:hAnsi="Times New Roman" w:cs="Times New Roman"/>
                <w:sz w:val="20"/>
                <w:szCs w:val="20"/>
              </w:rPr>
            </w:pPr>
            <w:r>
              <w:rPr>
                <w:rFonts w:ascii="Times New Roman" w:hAnsi="Times New Roman" w:cs="Times New Roman"/>
                <w:sz w:val="20"/>
                <w:szCs w:val="20"/>
              </w:rPr>
              <w:t>N</w:t>
            </w:r>
            <w:r w:rsidRPr="00E60A5D">
              <w:rPr>
                <w:rFonts w:ascii="Times New Roman" w:hAnsi="Times New Roman" w:cs="Times New Roman"/>
                <w:sz w:val="20"/>
                <w:szCs w:val="20"/>
              </w:rPr>
              <w:t>iewątpliwą zaletą proponowanych zmian jest próba uproszczenia procedury prowadzenia postępowań przymuszających, zwłaszcza w odniesieniu do obowiązku zgłaszania rocznych sprawozdań finansowych. Zastąpienie mało efektywnej grzywny wzmianką o niewykonywaniu obowiązków jest krokiem w dobrym kierunku.</w:t>
            </w:r>
          </w:p>
        </w:tc>
        <w:tc>
          <w:tcPr>
            <w:tcW w:w="4076" w:type="dxa"/>
          </w:tcPr>
          <w:p w14:paraId="30F5D98C" w14:textId="550D0CC6" w:rsidR="00E60A5D" w:rsidRDefault="00E60A5D" w:rsidP="00F22AC6">
            <w:pPr>
              <w:jc w:val="both"/>
              <w:rPr>
                <w:rFonts w:ascii="Times New Roman" w:hAnsi="Times New Roman" w:cs="Times New Roman"/>
                <w:b/>
                <w:sz w:val="20"/>
                <w:szCs w:val="20"/>
              </w:rPr>
            </w:pPr>
            <w:r>
              <w:rPr>
                <w:rFonts w:ascii="Times New Roman" w:hAnsi="Times New Roman" w:cs="Times New Roman"/>
                <w:b/>
                <w:sz w:val="20"/>
                <w:szCs w:val="20"/>
              </w:rPr>
              <w:t>Opinia</w:t>
            </w:r>
          </w:p>
        </w:tc>
      </w:tr>
      <w:tr w:rsidR="00E60A5D" w:rsidRPr="005134B0" w14:paraId="0C7F0BE3" w14:textId="77777777" w:rsidTr="00B241C8">
        <w:trPr>
          <w:jc w:val="center"/>
        </w:trPr>
        <w:tc>
          <w:tcPr>
            <w:tcW w:w="562" w:type="dxa"/>
          </w:tcPr>
          <w:p w14:paraId="751468A6" w14:textId="3D45A9CA" w:rsidR="00E60A5D" w:rsidRDefault="00E60A5D"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6.</w:t>
            </w:r>
          </w:p>
        </w:tc>
        <w:tc>
          <w:tcPr>
            <w:tcW w:w="1843" w:type="dxa"/>
            <w:vAlign w:val="center"/>
          </w:tcPr>
          <w:p w14:paraId="2AFF8E49" w14:textId="651E70B0" w:rsidR="00E60A5D" w:rsidRDefault="00E60A5D"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2902423D" w14:textId="40C15CAC" w:rsidR="00E60A5D" w:rsidRDefault="00E60A5D"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1F78B86C" w14:textId="77777777" w:rsidR="00E60A5D" w:rsidRPr="00E60A5D" w:rsidRDefault="00E60A5D" w:rsidP="00E60A5D">
            <w:pPr>
              <w:spacing w:line="240" w:lineRule="exact"/>
              <w:jc w:val="both"/>
              <w:rPr>
                <w:rFonts w:ascii="Times New Roman" w:hAnsi="Times New Roman" w:cs="Times New Roman"/>
                <w:sz w:val="20"/>
                <w:szCs w:val="20"/>
              </w:rPr>
            </w:pPr>
            <w:r w:rsidRPr="00E60A5D">
              <w:rPr>
                <w:rFonts w:ascii="Times New Roman" w:hAnsi="Times New Roman" w:cs="Times New Roman"/>
                <w:sz w:val="20"/>
                <w:szCs w:val="20"/>
              </w:rPr>
              <w:t xml:space="preserve">Poważne wątpliwości budzą również proponowane rozwiązania związane z ochroną danych osobowych w aktach rejestrowych. Wydaje się, że przesłanki tej ochrony winny być szczegółowiej określone w ustawie o KRS. Zawarta w projekcie zmiany art. 10 ust. 1 ustawy propozycja zamiany wyrazu „ustawa” na „przepis szczególny”, która w zamierzeniach projektodawców ma prowadzić do uwzględniania przez sądy rejestrowe szeregu przepisów związanych z materią ochrony danych (zwłaszcza tzw. RODO), nie jest rozwiązaniem trafnym. Już dziś widoczne są bardzo poważne rozbieżności praktyk poszczególnych sądów rejestrowych w tym zakresie, od restrykcyjnych (które mogą realnie utrudnić dostęp do </w:t>
            </w:r>
            <w:r w:rsidRPr="00E60A5D">
              <w:rPr>
                <w:rFonts w:ascii="Times New Roman" w:hAnsi="Times New Roman" w:cs="Times New Roman"/>
                <w:sz w:val="20"/>
                <w:szCs w:val="20"/>
              </w:rPr>
              <w:lastRenderedPageBreak/>
              <w:t>akt rejestrowych osobom trzecich) do bardzo liberalnych, uznających przepisy o KRS za szczególne wobec regulacji o ochronie danych. Zarówno aktualne przepisy, jak i te proponowane, przenoszą odpowiedzialność za ochronę danych osobowych w aktach wyłącznie na sądy rejestrowe, i to bez wyposażenia ich w jednoznaczne kryteria działania w tym zakresie. W efekcie powstaje paradoks, iż regulacje ramowe o ochronie danych przewidują wyjątki zawarte w ustawach szczególnych, te zaś (np. ustawa o KRS) odsyła ponownie do przepisów o ochronie danych.</w:t>
            </w:r>
          </w:p>
          <w:p w14:paraId="7547D3BC" w14:textId="77777777" w:rsidR="00E60A5D" w:rsidRPr="00E60A5D" w:rsidRDefault="00E60A5D" w:rsidP="00E60A5D">
            <w:pPr>
              <w:spacing w:line="240" w:lineRule="exact"/>
              <w:jc w:val="both"/>
              <w:rPr>
                <w:rFonts w:ascii="Times New Roman" w:hAnsi="Times New Roman" w:cs="Times New Roman"/>
                <w:sz w:val="20"/>
                <w:szCs w:val="20"/>
              </w:rPr>
            </w:pPr>
            <w:r w:rsidRPr="00E60A5D">
              <w:rPr>
                <w:rFonts w:ascii="Times New Roman" w:hAnsi="Times New Roman" w:cs="Times New Roman"/>
                <w:sz w:val="20"/>
                <w:szCs w:val="20"/>
              </w:rPr>
              <w:t xml:space="preserve">Wprawdzie projekt przewiduje obowiązek </w:t>
            </w:r>
            <w:proofErr w:type="spellStart"/>
            <w:r w:rsidRPr="00E60A5D">
              <w:rPr>
                <w:rFonts w:ascii="Times New Roman" w:hAnsi="Times New Roman" w:cs="Times New Roman"/>
                <w:sz w:val="20"/>
                <w:szCs w:val="20"/>
              </w:rPr>
              <w:t>anonimizowania</w:t>
            </w:r>
            <w:proofErr w:type="spellEnd"/>
            <w:r w:rsidRPr="00E60A5D">
              <w:rPr>
                <w:rFonts w:ascii="Times New Roman" w:hAnsi="Times New Roman" w:cs="Times New Roman"/>
                <w:sz w:val="20"/>
                <w:szCs w:val="20"/>
              </w:rPr>
              <w:t xml:space="preserve"> danych przez samych wnioskodawców (por. art. 19aa ustawy o KRS), jednakże w dalszym ciągu będzie budził wątpliwości sam zakres tej ochrony (np. czy będą to adresy członków władz podmiotów, które są istotne nie tylko dla postępowań sądowych, ale również w szeroko rozumianym obrocie gospodarczym). Projekt nie rozstrzyga również jednoznacznie jak się ma składanie wyciągów dokumentów pomijających dane osobowe do obowiązku z art. art. 6944 k.p.c. zgłaszania dokumentów stanowiących podstawę wpisu w formie oryginału lub poświadczonego urzędu odpisu lub wyciągu.</w:t>
            </w:r>
          </w:p>
          <w:p w14:paraId="56B3EF15" w14:textId="5F92BE98" w:rsidR="00E60A5D" w:rsidRDefault="00E60A5D" w:rsidP="00E60A5D">
            <w:pPr>
              <w:spacing w:line="240" w:lineRule="exact"/>
              <w:jc w:val="both"/>
              <w:rPr>
                <w:rFonts w:ascii="Times New Roman" w:hAnsi="Times New Roman" w:cs="Times New Roman"/>
                <w:sz w:val="20"/>
                <w:szCs w:val="20"/>
              </w:rPr>
            </w:pPr>
            <w:r w:rsidRPr="00E60A5D">
              <w:rPr>
                <w:rFonts w:ascii="Times New Roman" w:hAnsi="Times New Roman" w:cs="Times New Roman"/>
                <w:sz w:val="20"/>
                <w:szCs w:val="20"/>
              </w:rPr>
              <w:t>Powyższe wątpliwości co do zakresu ochrony danych osobowych mogą powodować istotne rozbieżności w ocenie podstaw do zwrotu wniosków lub innych pism procesowych na podstawie projektowanego art. 19aa ust. 2 ustawy o KRS.</w:t>
            </w:r>
          </w:p>
        </w:tc>
        <w:tc>
          <w:tcPr>
            <w:tcW w:w="4076" w:type="dxa"/>
          </w:tcPr>
          <w:p w14:paraId="0A6B6D5E" w14:textId="77777777" w:rsidR="00E60A5D" w:rsidRDefault="00E60A5D" w:rsidP="00F22AC6">
            <w:pPr>
              <w:jc w:val="both"/>
              <w:rPr>
                <w:rFonts w:ascii="Times New Roman" w:hAnsi="Times New Roman" w:cs="Times New Roman"/>
                <w:b/>
                <w:sz w:val="20"/>
                <w:szCs w:val="20"/>
              </w:rPr>
            </w:pPr>
            <w:r>
              <w:rPr>
                <w:rFonts w:ascii="Times New Roman" w:hAnsi="Times New Roman" w:cs="Times New Roman"/>
                <w:b/>
                <w:sz w:val="20"/>
                <w:szCs w:val="20"/>
              </w:rPr>
              <w:lastRenderedPageBreak/>
              <w:t>Uwaga nieuwzględniona</w:t>
            </w:r>
          </w:p>
          <w:p w14:paraId="4FE7D910" w14:textId="38BD9C27" w:rsidR="00E60A5D" w:rsidRPr="00E60A5D" w:rsidRDefault="00E60A5D" w:rsidP="00F22AC6">
            <w:pPr>
              <w:jc w:val="both"/>
              <w:rPr>
                <w:rFonts w:ascii="Times New Roman" w:hAnsi="Times New Roman" w:cs="Times New Roman"/>
                <w:bCs/>
                <w:sz w:val="20"/>
                <w:szCs w:val="20"/>
              </w:rPr>
            </w:pPr>
            <w:r w:rsidRPr="00E60A5D">
              <w:rPr>
                <w:rFonts w:ascii="Times New Roman" w:hAnsi="Times New Roman" w:cs="Times New Roman"/>
                <w:bCs/>
                <w:sz w:val="20"/>
                <w:szCs w:val="20"/>
              </w:rPr>
              <w:t xml:space="preserve">Odnosząc się do kwestii ochrony danych i wskazanie, że </w:t>
            </w:r>
            <w:r>
              <w:rPr>
                <w:rFonts w:ascii="Times New Roman" w:hAnsi="Times New Roman" w:cs="Times New Roman"/>
                <w:bCs/>
                <w:sz w:val="20"/>
                <w:szCs w:val="20"/>
              </w:rPr>
              <w:t>„</w:t>
            </w:r>
            <w:r w:rsidRPr="00E60A5D">
              <w:rPr>
                <w:rFonts w:ascii="Times New Roman" w:hAnsi="Times New Roman" w:cs="Times New Roman"/>
                <w:bCs/>
                <w:sz w:val="20"/>
                <w:szCs w:val="20"/>
              </w:rPr>
              <w:t>przesłanki tej ochrony winny być szczegółowiej określone w ustawie o KRS</w:t>
            </w:r>
            <w:r>
              <w:rPr>
                <w:rFonts w:ascii="Times New Roman" w:hAnsi="Times New Roman" w:cs="Times New Roman"/>
                <w:bCs/>
                <w:sz w:val="20"/>
                <w:szCs w:val="20"/>
              </w:rPr>
              <w:t xml:space="preserve">” </w:t>
            </w:r>
            <w:r w:rsidRPr="00E60A5D">
              <w:rPr>
                <w:rFonts w:ascii="Times New Roman" w:hAnsi="Times New Roman" w:cs="Times New Roman"/>
                <w:bCs/>
                <w:sz w:val="20"/>
                <w:szCs w:val="20"/>
              </w:rPr>
              <w:t>należy zauważyć, że dane, które podlegają ujawnieniu w Krajowym Rejestrze Sądowym oraz złożeniu do akt rejestrowych są określone w ustawie o KRS oraz innych przepisach. Zatem nie jest zasadne określanie przesłanek ochrony danych osobowych w ustawie o KRS.                                   Jednocześnie w uzasadnieniu</w:t>
            </w:r>
            <w:r>
              <w:rPr>
                <w:rFonts w:ascii="Times New Roman" w:hAnsi="Times New Roman" w:cs="Times New Roman"/>
                <w:bCs/>
                <w:sz w:val="20"/>
                <w:szCs w:val="20"/>
              </w:rPr>
              <w:t xml:space="preserve"> dopisano</w:t>
            </w:r>
            <w:r w:rsidRPr="00E60A5D">
              <w:rPr>
                <w:rFonts w:ascii="Times New Roman" w:hAnsi="Times New Roman" w:cs="Times New Roman"/>
                <w:bCs/>
                <w:sz w:val="20"/>
                <w:szCs w:val="20"/>
              </w:rPr>
              <w:t xml:space="preserve">, że pod </w:t>
            </w:r>
            <w:r w:rsidRPr="00E60A5D">
              <w:rPr>
                <w:rFonts w:ascii="Times New Roman" w:hAnsi="Times New Roman" w:cs="Times New Roman"/>
                <w:bCs/>
                <w:sz w:val="20"/>
                <w:szCs w:val="20"/>
              </w:rPr>
              <w:lastRenderedPageBreak/>
              <w:t>pojęciem wyciągu, o którym mowa w art. 19aa należy rozumieć np.: sporządzoną kopię takiego dokumentu lub wyciąg takiego dokumentu (bez konieczności urzędowego poświadczania) pozbawiony nadmiarowych danych.</w:t>
            </w:r>
          </w:p>
        </w:tc>
      </w:tr>
      <w:tr w:rsidR="00AD2AF3" w:rsidRPr="005134B0" w14:paraId="6EA37972" w14:textId="77777777" w:rsidTr="00B241C8">
        <w:trPr>
          <w:jc w:val="center"/>
        </w:trPr>
        <w:tc>
          <w:tcPr>
            <w:tcW w:w="562" w:type="dxa"/>
          </w:tcPr>
          <w:p w14:paraId="63657FE9" w14:textId="4285D9A5" w:rsidR="00AD2AF3" w:rsidRDefault="00AD2AF3"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7.</w:t>
            </w:r>
          </w:p>
        </w:tc>
        <w:tc>
          <w:tcPr>
            <w:tcW w:w="1843" w:type="dxa"/>
            <w:vAlign w:val="center"/>
          </w:tcPr>
          <w:p w14:paraId="47E901C9" w14:textId="7D98D3FA" w:rsidR="00AD2AF3" w:rsidRDefault="00AD2AF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50F64453" w14:textId="41D30380" w:rsidR="00AD2AF3" w:rsidRDefault="00AD2AF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12A808DC" w14:textId="195E082C" w:rsidR="00AD2AF3" w:rsidRPr="00E60A5D" w:rsidRDefault="00AD2AF3" w:rsidP="00E60A5D">
            <w:pPr>
              <w:spacing w:line="240" w:lineRule="exact"/>
              <w:jc w:val="both"/>
              <w:rPr>
                <w:rFonts w:ascii="Times New Roman" w:hAnsi="Times New Roman" w:cs="Times New Roman"/>
                <w:sz w:val="20"/>
                <w:szCs w:val="20"/>
              </w:rPr>
            </w:pPr>
            <w:r w:rsidRPr="00AD2AF3">
              <w:rPr>
                <w:rFonts w:ascii="Times New Roman" w:hAnsi="Times New Roman" w:cs="Times New Roman"/>
                <w:sz w:val="20"/>
                <w:szCs w:val="20"/>
              </w:rPr>
              <w:t>Wprowadzając zmianę do art. 10 Ustawy o Krajowym Rejestrze Sądowym należałoby w rozporządzeniu wykonawczym do ustawy w sposób precyzyjny i całościowy określić jakie podmioty lub osoby fizyczne mogą występować o dostęp do elektronicznych akt rejestrowych prowadzonych w Repozytorium Akt Rejestrowych (RAR) jako użytkownik jednorazowy lub użytkownik nazwany. Brak regulacji prawnej w tym zakresie utrudnia sądom rejestrowym odmowę takiego dostępu przy równocześnie statuowanej w art. 10 ust. 1 ustawy o KRS zasadzie jawności akt rejestrowych. Należy zauważyć, że nadanie jednorazowego hasła dostępu do RAR umożliwia przeglądanie dokumentów ze statusem jawności dokumentu jako „ograniczony”.</w:t>
            </w:r>
          </w:p>
        </w:tc>
        <w:tc>
          <w:tcPr>
            <w:tcW w:w="4076" w:type="dxa"/>
          </w:tcPr>
          <w:p w14:paraId="54E83DD8" w14:textId="77777777" w:rsidR="00AD2AF3" w:rsidRDefault="00AD2AF3" w:rsidP="00F22AC6">
            <w:pPr>
              <w:jc w:val="both"/>
              <w:rPr>
                <w:rFonts w:ascii="Times New Roman" w:hAnsi="Times New Roman" w:cs="Times New Roman"/>
                <w:b/>
                <w:sz w:val="20"/>
                <w:szCs w:val="20"/>
              </w:rPr>
            </w:pPr>
            <w:r>
              <w:rPr>
                <w:rFonts w:ascii="Times New Roman" w:hAnsi="Times New Roman" w:cs="Times New Roman"/>
                <w:b/>
                <w:sz w:val="20"/>
                <w:szCs w:val="20"/>
              </w:rPr>
              <w:t>Uwaga nieuwzględniona</w:t>
            </w:r>
          </w:p>
          <w:p w14:paraId="53689831" w14:textId="26A7A22D" w:rsidR="00AD2AF3" w:rsidRPr="00AD2AF3" w:rsidRDefault="00AD2AF3" w:rsidP="00F22AC6">
            <w:pPr>
              <w:jc w:val="both"/>
              <w:rPr>
                <w:rFonts w:ascii="Times New Roman" w:hAnsi="Times New Roman" w:cs="Times New Roman"/>
                <w:bCs/>
                <w:sz w:val="20"/>
                <w:szCs w:val="20"/>
              </w:rPr>
            </w:pPr>
            <w:r w:rsidRPr="00AD2AF3">
              <w:rPr>
                <w:rFonts w:ascii="Times New Roman" w:hAnsi="Times New Roman" w:cs="Times New Roman"/>
                <w:bCs/>
                <w:sz w:val="20"/>
                <w:szCs w:val="20"/>
              </w:rPr>
              <w:t>Należy wskazać, że zgodnie z art. 10 ust. 1 ustawy o KRS każdy ma prawo przeglądania akt rejestrowych podmiotów wpisanych do Rejestru oraz zbioru dokumentów, o którym mowa w art. 9 ust. 6, chyba że ustawa stanowi inaczej. Zgodnie z § 198 ust. 5 rozporządzenia MS - Regulamin urzędowania sądów powszechnych  dokumenty składane do sądu rejestrowego podlegają przed ich udostępnieniem ocenie przez ten sąd w celu ochrony danych osobowych. Zatem w każdym przypadku sąd rejestrowy decyduje o tym</w:t>
            </w:r>
            <w:r w:rsidR="006321C8">
              <w:rPr>
                <w:rFonts w:ascii="Times New Roman" w:hAnsi="Times New Roman" w:cs="Times New Roman"/>
                <w:bCs/>
                <w:sz w:val="20"/>
                <w:szCs w:val="20"/>
              </w:rPr>
              <w:t>,</w:t>
            </w:r>
            <w:r w:rsidRPr="00AD2AF3">
              <w:rPr>
                <w:rFonts w:ascii="Times New Roman" w:hAnsi="Times New Roman" w:cs="Times New Roman"/>
                <w:bCs/>
                <w:sz w:val="20"/>
                <w:szCs w:val="20"/>
              </w:rPr>
              <w:t xml:space="preserve"> komu i jakie </w:t>
            </w:r>
            <w:r w:rsidRPr="00AD2AF3">
              <w:rPr>
                <w:rFonts w:ascii="Times New Roman" w:hAnsi="Times New Roman" w:cs="Times New Roman"/>
                <w:bCs/>
                <w:sz w:val="20"/>
                <w:szCs w:val="20"/>
              </w:rPr>
              <w:lastRenderedPageBreak/>
              <w:t>dokumenty ma udostępnić. Należy jednocześnie wskazać, że obowiązujące przepisy ustawy o KRS oraz aktów wykonawczych nie posługują się pojęciem użytkownika jednorazowego i użytkownika nazwanego. Ponadto w uwadze jest wskazano, w którym akcie wykonawczym należałoby uregulować kwestię dostępu do akt  użytkownika jednorazowego i użytkownika nazwanego.</w:t>
            </w:r>
          </w:p>
        </w:tc>
      </w:tr>
      <w:tr w:rsidR="00790E38" w:rsidRPr="005134B0" w14:paraId="524B224F" w14:textId="77777777" w:rsidTr="00B241C8">
        <w:trPr>
          <w:jc w:val="center"/>
        </w:trPr>
        <w:tc>
          <w:tcPr>
            <w:tcW w:w="562" w:type="dxa"/>
          </w:tcPr>
          <w:p w14:paraId="44486C0E" w14:textId="133100B3" w:rsidR="00790E38" w:rsidRDefault="00790E38"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8.</w:t>
            </w:r>
          </w:p>
        </w:tc>
        <w:tc>
          <w:tcPr>
            <w:tcW w:w="1843" w:type="dxa"/>
            <w:vAlign w:val="center"/>
          </w:tcPr>
          <w:p w14:paraId="2966384B" w14:textId="1E429526" w:rsidR="00790E38" w:rsidRDefault="00BE4E91"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w:t>
            </w:r>
            <w:r w:rsidR="00790E38">
              <w:rPr>
                <w:rFonts w:ascii="Times New Roman" w:hAnsi="Times New Roman" w:cs="Times New Roman"/>
                <w:bCs/>
                <w:sz w:val="20"/>
                <w:szCs w:val="20"/>
              </w:rPr>
              <w:t xml:space="preserve"> Poznaniu</w:t>
            </w:r>
          </w:p>
        </w:tc>
        <w:tc>
          <w:tcPr>
            <w:tcW w:w="1843" w:type="dxa"/>
            <w:vAlign w:val="center"/>
          </w:tcPr>
          <w:p w14:paraId="518A5B9A" w14:textId="2BB27291" w:rsidR="00790E38" w:rsidRDefault="00790E38"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02FB9125" w14:textId="005BD983"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 xml:space="preserve">Odnośnie </w:t>
            </w:r>
            <w:r w:rsidR="006321C8">
              <w:rPr>
                <w:rFonts w:ascii="Times New Roman" w:hAnsi="Times New Roman" w:cs="Times New Roman"/>
                <w:sz w:val="20"/>
                <w:szCs w:val="20"/>
              </w:rPr>
              <w:t xml:space="preserve">do </w:t>
            </w:r>
            <w:r w:rsidRPr="00790E38">
              <w:rPr>
                <w:rFonts w:ascii="Times New Roman" w:hAnsi="Times New Roman" w:cs="Times New Roman"/>
                <w:sz w:val="20"/>
                <w:szCs w:val="20"/>
              </w:rPr>
              <w:t>projektowanej zmiany wymogu w zakresie sposobu składania wniosków o wpis do rejestru stowarzyszeń, innych organizacji społecznych lub zawodowych, fundacji oraz samodzielnych publicznych zakładów opieki zdrowotnej oraz sposobu prowadzenia akt rejestrowych podmiotów wpisanych do tego rejestru stowarzyszeń, jest irracjonalna i – wbrew</w:t>
            </w:r>
            <w:r w:rsidR="00FA26CF">
              <w:rPr>
                <w:rFonts w:ascii="Times New Roman" w:hAnsi="Times New Roman" w:cs="Times New Roman"/>
                <w:sz w:val="20"/>
                <w:szCs w:val="20"/>
              </w:rPr>
              <w:t xml:space="preserve"> </w:t>
            </w:r>
            <w:r w:rsidRPr="00790E38">
              <w:rPr>
                <w:rFonts w:ascii="Times New Roman" w:hAnsi="Times New Roman" w:cs="Times New Roman"/>
                <w:sz w:val="20"/>
                <w:szCs w:val="20"/>
              </w:rPr>
              <w:t>pozorom system teleinformatyczny składania wniosków dla tych podmiotów spowodować może więcej problemów niż przynieść korzyści.</w:t>
            </w:r>
          </w:p>
          <w:p w14:paraId="07FBF61C" w14:textId="77777777"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Przewidywane zniesienie papierowej postaci wniosków i papierowej postaci akt rejestrowych w przypadku rejestru stowarzyszeń, przy jednoczesnym pozostawieniu możliwości składania elektronicznie tych wniosków i prowadzenia tych akt rejestrowych, przysporzyć może dodatkowej pracy zarówno samym wnioskodawcom jak i orzecznikom w wydziałach rejestrowych.</w:t>
            </w:r>
          </w:p>
          <w:p w14:paraId="681D5674" w14:textId="77777777"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Podkreślić należy, że podmioty figurujące w rejestrze stowarzyszeń KRS znacznie rzadziej niż podmioty figurujące w rejestrze przedsiębiorców KRS (z uwagi na ograniczenia co do kosztów prowadzonej działalności) pozwolić sobie mogą na korzystanie z pomocy profesjonalnych pełnomocników procesowych.</w:t>
            </w:r>
          </w:p>
          <w:p w14:paraId="488A9F82" w14:textId="77777777"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 xml:space="preserve">Niejednokrotnie ww. podmioty bywają reprezentowane przez osoby, których zaawansowanie informatyczne – delikatnie mówiąc – nie jest na najwyższym poziomie. W konsekwencji wprowadzenie konieczności składania wniosków wyłącznie w formie elektronicznej dla podmiotów figurujących w rejestrze stowarzyszeń KRS będzie dla znacznej części tych podmiotów bardzo kłopotliwe i to nie tylko w „pierwszych dniach” obowiązywania ewentualnie </w:t>
            </w:r>
            <w:r w:rsidRPr="00790E38">
              <w:rPr>
                <w:rFonts w:ascii="Times New Roman" w:hAnsi="Times New Roman" w:cs="Times New Roman"/>
                <w:sz w:val="20"/>
                <w:szCs w:val="20"/>
              </w:rPr>
              <w:lastRenderedPageBreak/>
              <w:t>nowowprowadzonych przepisów, ale „w ogóle”. Oczywistym jest bowiem, że w przypadku nieskutecznego złożenia wniosku „na nowych zasadach” podmioty figurujące w rejestrze stowarzyszeń KRS będą zmuszone taki wniosek ponawiać, niewykluczone, że kilkakrotnie.</w:t>
            </w:r>
          </w:p>
          <w:p w14:paraId="0916270E" w14:textId="77777777"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Z dużą dozą prawdopodobieństwa można założyć, że wnioski „na nowych zasadach” będą przez wnioskodawców składane metodą „prób i błędów” do skutku.</w:t>
            </w:r>
          </w:p>
          <w:p w14:paraId="31E4FBFC" w14:textId="77777777" w:rsidR="00790E38" w:rsidRPr="00790E38"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Powyższe sprawi, że zarówno sami wnioskodawcy figurujący w rejestrze stowarzyszeń KRS (w zakresie wypełnienia i złożenia wniosków) jak orzecznicy w wydziałach rejestrowych (w zakresie weryfikacji złożonych wniosków) będą musieli poświęcić znacznie więcej czasu niż dotychczas.</w:t>
            </w:r>
          </w:p>
          <w:p w14:paraId="43E9124A" w14:textId="38A3B95B" w:rsidR="00790E38" w:rsidRPr="00AD2AF3" w:rsidRDefault="00790E38" w:rsidP="00790E38">
            <w:pPr>
              <w:spacing w:line="240" w:lineRule="exact"/>
              <w:jc w:val="both"/>
              <w:rPr>
                <w:rFonts w:ascii="Times New Roman" w:hAnsi="Times New Roman" w:cs="Times New Roman"/>
                <w:sz w:val="20"/>
                <w:szCs w:val="20"/>
              </w:rPr>
            </w:pPr>
            <w:r w:rsidRPr="00790E38">
              <w:rPr>
                <w:rFonts w:ascii="Times New Roman" w:hAnsi="Times New Roman" w:cs="Times New Roman"/>
                <w:sz w:val="20"/>
                <w:szCs w:val="20"/>
              </w:rPr>
              <w:t>Pozostawienie możliwości papierowej postaci wniosków i papierowej postaci akt rejestrowych w przypadku rejestru stowarzyszeń wydaje się być posunięciem „humanitarnym”, które – w odniesieniu do niemałej części podmiotów rejestrowych - nie będzie prowadzić de facto do ich „wykluczenia rejestrowego”.</w:t>
            </w:r>
          </w:p>
        </w:tc>
        <w:tc>
          <w:tcPr>
            <w:tcW w:w="4076" w:type="dxa"/>
          </w:tcPr>
          <w:p w14:paraId="5F6F7793" w14:textId="296E850A" w:rsidR="00790E38" w:rsidRDefault="00790E38" w:rsidP="00F22AC6">
            <w:pPr>
              <w:jc w:val="both"/>
              <w:rPr>
                <w:rFonts w:ascii="Times New Roman" w:hAnsi="Times New Roman" w:cs="Times New Roman"/>
                <w:b/>
                <w:sz w:val="20"/>
                <w:szCs w:val="20"/>
              </w:rPr>
            </w:pPr>
            <w:r>
              <w:rPr>
                <w:rFonts w:ascii="Times New Roman" w:hAnsi="Times New Roman" w:cs="Times New Roman"/>
                <w:b/>
                <w:sz w:val="20"/>
                <w:szCs w:val="20"/>
              </w:rPr>
              <w:lastRenderedPageBreak/>
              <w:t>Uwaga nie dotyczy projektu ustawy UDER49.</w:t>
            </w:r>
          </w:p>
        </w:tc>
      </w:tr>
      <w:tr w:rsidR="00C65703" w:rsidRPr="005134B0" w14:paraId="692EA429" w14:textId="77777777" w:rsidTr="00B241C8">
        <w:trPr>
          <w:jc w:val="center"/>
        </w:trPr>
        <w:tc>
          <w:tcPr>
            <w:tcW w:w="562" w:type="dxa"/>
          </w:tcPr>
          <w:p w14:paraId="391F2BF5" w14:textId="247B9C34" w:rsidR="00C65703" w:rsidRDefault="00C65703"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9.</w:t>
            </w:r>
          </w:p>
        </w:tc>
        <w:tc>
          <w:tcPr>
            <w:tcW w:w="1843" w:type="dxa"/>
            <w:vAlign w:val="center"/>
          </w:tcPr>
          <w:p w14:paraId="7BE63995" w14:textId="2D226AA9" w:rsidR="00C65703" w:rsidRDefault="00C6570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PUODO</w:t>
            </w:r>
          </w:p>
        </w:tc>
        <w:tc>
          <w:tcPr>
            <w:tcW w:w="1843" w:type="dxa"/>
            <w:vAlign w:val="center"/>
          </w:tcPr>
          <w:p w14:paraId="4A3BF254" w14:textId="59558424" w:rsidR="00C65703" w:rsidRDefault="00C6570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Uwaga ogólna</w:t>
            </w:r>
          </w:p>
        </w:tc>
        <w:tc>
          <w:tcPr>
            <w:tcW w:w="5670" w:type="dxa"/>
            <w:vAlign w:val="center"/>
          </w:tcPr>
          <w:p w14:paraId="19F46535" w14:textId="77777777" w:rsidR="00C65703" w:rsidRPr="00C65703" w:rsidRDefault="00C65703" w:rsidP="00C65703">
            <w:pPr>
              <w:spacing w:line="240" w:lineRule="exact"/>
              <w:jc w:val="both"/>
              <w:rPr>
                <w:rFonts w:ascii="Times New Roman" w:hAnsi="Times New Roman" w:cs="Times New Roman"/>
                <w:sz w:val="20"/>
                <w:szCs w:val="20"/>
              </w:rPr>
            </w:pPr>
            <w:r w:rsidRPr="00C65703">
              <w:rPr>
                <w:rFonts w:ascii="Times New Roman" w:hAnsi="Times New Roman" w:cs="Times New Roman"/>
                <w:sz w:val="20"/>
                <w:szCs w:val="20"/>
              </w:rPr>
              <w:t xml:space="preserve">Organ właściwy w sprawie ochrony danych osobowych nie neguje projektowanych zmian, mających m.in. na celu usprawnienie pracy sądów rejestrowych i przyspieszenie postępowań rejestrowych. Niemniej, zwrócić uwagę należy, że przyjmowane rozwiązania wymagają zapewnienia zgodności z przepisami rozporządzenia 2016/679. Przepisy ustawy powinny kompleksowo regulować sposoby przetwarzania danych w systemie teleinformatycznym, zgodnie z zasadami: zgodności z prawem, rzetelności i przejrzystości (art. 5 ust. 1 lit. a), ograniczenia celu (art. 5 ust. 1 lit. b), minimalizacji danych (art. 5 ust. 1 lit. c) i ograniczenia przechowywania (art. 5 ust. 1 lit. e), jak również rozliczalności (art. 5 ust. 2) rozporządzenia 2016/679. W podstawie prawnej przetwarzania danych muszą być wyraźnie określone konkretne cele wykonywania operacji na danych osobowych (art. 6 ust. 3 rozporządzenia 2016/679). Przetwarzanie danych osobowych przez podmioty publiczne w funkcjonujących rejestrach jest bowiem ograniczone zakresem realizowanych przez nie zadań (zob. art. 15 </w:t>
            </w:r>
            <w:r w:rsidRPr="00C65703">
              <w:rPr>
                <w:rFonts w:ascii="Times New Roman" w:hAnsi="Times New Roman" w:cs="Times New Roman"/>
                <w:sz w:val="20"/>
                <w:szCs w:val="20"/>
              </w:rPr>
              <w:lastRenderedPageBreak/>
              <w:t>ust. 1 ustawy o informatyzacji). Jak wymagają przepisy Konstytucji RP, władze publiczne nie mogą pozyskiwać, gromadzić i udostępniać innych informacji o obywatelach niż niezbędne w demokratycznym państwie prawnym, zasady i tryb gromadzenia oraz udostępnienia informacji określa zaś ustawa (art. 51 ust. 1 i ust. 5 Konstytucji RP). Organy władzy publicznej działają na podstawie i w granicach prawa (art. 7 Konstytucji RP).</w:t>
            </w:r>
          </w:p>
          <w:p w14:paraId="78CC5B40" w14:textId="4FDB5DD2" w:rsidR="00C65703" w:rsidRPr="00790E38" w:rsidRDefault="00C65703" w:rsidP="00C65703">
            <w:pPr>
              <w:spacing w:line="240" w:lineRule="exact"/>
              <w:jc w:val="both"/>
              <w:rPr>
                <w:rFonts w:ascii="Times New Roman" w:hAnsi="Times New Roman" w:cs="Times New Roman"/>
                <w:sz w:val="20"/>
                <w:szCs w:val="20"/>
              </w:rPr>
            </w:pPr>
            <w:r w:rsidRPr="00C65703">
              <w:rPr>
                <w:rFonts w:ascii="Times New Roman" w:hAnsi="Times New Roman" w:cs="Times New Roman"/>
                <w:sz w:val="20"/>
                <w:szCs w:val="20"/>
              </w:rPr>
              <w:t>Ograniczenia w zakresie korzystania z konstytucyjnych wolności i praw mogą być ustanawiane tylko w ustawie i tylko wtedy, gdy są konieczne w demokratycznym państwie dla jego bezpieczeństwa lub porządku publicznego, bądź dla ochrony środowiska, zdrowia i moralności publicznej, albo wolności i praw innych osób. Ograniczenia te nie mogą naruszać istoty wolności i praw (art. 31 ust. 3 Konstytucji RP).</w:t>
            </w:r>
          </w:p>
        </w:tc>
        <w:tc>
          <w:tcPr>
            <w:tcW w:w="4076" w:type="dxa"/>
          </w:tcPr>
          <w:p w14:paraId="61A71680" w14:textId="77777777" w:rsidR="00C65703" w:rsidRDefault="00C65703" w:rsidP="00F22AC6">
            <w:pPr>
              <w:jc w:val="both"/>
              <w:rPr>
                <w:rFonts w:ascii="Times New Roman" w:hAnsi="Times New Roman" w:cs="Times New Roman"/>
                <w:b/>
                <w:sz w:val="20"/>
                <w:szCs w:val="20"/>
              </w:rPr>
            </w:pPr>
            <w:r>
              <w:rPr>
                <w:rFonts w:ascii="Times New Roman" w:hAnsi="Times New Roman" w:cs="Times New Roman"/>
                <w:b/>
                <w:sz w:val="20"/>
                <w:szCs w:val="20"/>
              </w:rPr>
              <w:lastRenderedPageBreak/>
              <w:t>Uwaga nieuwzględniona</w:t>
            </w:r>
          </w:p>
          <w:p w14:paraId="52D5A52D" w14:textId="40FD6A3C" w:rsidR="00C65703" w:rsidRPr="00C65703" w:rsidRDefault="00C65703" w:rsidP="00F22AC6">
            <w:pPr>
              <w:jc w:val="both"/>
              <w:rPr>
                <w:rFonts w:ascii="Times New Roman" w:hAnsi="Times New Roman" w:cs="Times New Roman"/>
                <w:bCs/>
                <w:sz w:val="20"/>
                <w:szCs w:val="20"/>
              </w:rPr>
            </w:pPr>
            <w:r w:rsidRPr="00C65703">
              <w:rPr>
                <w:rFonts w:ascii="Times New Roman" w:hAnsi="Times New Roman" w:cs="Times New Roman"/>
                <w:bCs/>
                <w:sz w:val="20"/>
                <w:szCs w:val="20"/>
              </w:rPr>
              <w:t>Wnoszący nie wskazał, które z projektowanych przepisów są - jego zdaniem - niezgodne z rozporządzeniem 2016/679. Ponadto zgodnie z art.  175dc ustawy - Prawo o ustroju sądów powszechnych w związku z przetwarzaniem danych osobowych w postępowaniach sądowych wykonanie obowiązków, o których mowa w art. 13 rozporządzenia 2016/679, następuje przez umieszczenie informacji określonych w art. 13 ust. 2 rozporządzenia 2016/679 w Biuletynie Informacji Publicznej na stronie podmiotowej oraz w widocznym miejscu w budynku sądu.</w:t>
            </w:r>
          </w:p>
        </w:tc>
      </w:tr>
      <w:tr w:rsidR="001C4E87" w:rsidRPr="005134B0" w14:paraId="4E9A7412" w14:textId="77777777" w:rsidTr="00B919AF">
        <w:trPr>
          <w:jc w:val="center"/>
        </w:trPr>
        <w:tc>
          <w:tcPr>
            <w:tcW w:w="13994" w:type="dxa"/>
            <w:gridSpan w:val="5"/>
            <w:shd w:val="clear" w:color="auto" w:fill="A6A6A6" w:themeFill="background1" w:themeFillShade="A6"/>
          </w:tcPr>
          <w:p w14:paraId="14DF1E4F" w14:textId="77777777" w:rsidR="00865AF4" w:rsidRPr="005134B0" w:rsidRDefault="00865AF4" w:rsidP="008B68BE">
            <w:pPr>
              <w:spacing w:before="120" w:after="120"/>
              <w:jc w:val="center"/>
              <w:rPr>
                <w:rFonts w:ascii="Times New Roman" w:hAnsi="Times New Roman" w:cs="Times New Roman"/>
                <w:b/>
                <w:i/>
                <w:sz w:val="20"/>
                <w:szCs w:val="20"/>
              </w:rPr>
            </w:pPr>
            <w:r w:rsidRPr="005134B0">
              <w:rPr>
                <w:rFonts w:ascii="Times New Roman" w:hAnsi="Times New Roman" w:cs="Times New Roman"/>
                <w:b/>
                <w:sz w:val="20"/>
                <w:szCs w:val="20"/>
              </w:rPr>
              <w:t>Uwagi do projektu ustawy</w:t>
            </w:r>
          </w:p>
        </w:tc>
      </w:tr>
      <w:tr w:rsidR="001C4E87" w:rsidRPr="005134B0" w14:paraId="3A85CEF3" w14:textId="77777777" w:rsidTr="00B241C8">
        <w:trPr>
          <w:jc w:val="center"/>
        </w:trPr>
        <w:tc>
          <w:tcPr>
            <w:tcW w:w="562" w:type="dxa"/>
          </w:tcPr>
          <w:p w14:paraId="640AA766" w14:textId="75470015" w:rsidR="00D53619"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10.</w:t>
            </w:r>
          </w:p>
        </w:tc>
        <w:tc>
          <w:tcPr>
            <w:tcW w:w="1843" w:type="dxa"/>
            <w:vAlign w:val="center"/>
          </w:tcPr>
          <w:p w14:paraId="07C4D205" w14:textId="7EF07F66" w:rsidR="00D53619" w:rsidRPr="00DF1BBF" w:rsidRDefault="00DF1BBF" w:rsidP="00F43ABB">
            <w:pPr>
              <w:spacing w:before="120" w:after="120"/>
              <w:jc w:val="both"/>
              <w:rPr>
                <w:rFonts w:ascii="Times New Roman" w:hAnsi="Times New Roman" w:cs="Times New Roman"/>
                <w:bCs/>
                <w:sz w:val="20"/>
                <w:szCs w:val="20"/>
              </w:rPr>
            </w:pPr>
            <w:r w:rsidRPr="00DF1BBF">
              <w:rPr>
                <w:rFonts w:ascii="Times New Roman" w:hAnsi="Times New Roman" w:cs="Times New Roman"/>
                <w:bCs/>
                <w:sz w:val="20"/>
                <w:szCs w:val="20"/>
              </w:rPr>
              <w:t>SA w Warszawie</w:t>
            </w:r>
          </w:p>
        </w:tc>
        <w:tc>
          <w:tcPr>
            <w:tcW w:w="1843" w:type="dxa"/>
            <w:vAlign w:val="center"/>
          </w:tcPr>
          <w:p w14:paraId="24B9B4C1" w14:textId="0EC6C3B2" w:rsidR="00D53619" w:rsidRPr="006321C8" w:rsidRDefault="00DF1BBF" w:rsidP="00F43ABB">
            <w:pPr>
              <w:spacing w:before="120" w:after="120"/>
              <w:jc w:val="both"/>
              <w:rPr>
                <w:rFonts w:ascii="Times New Roman" w:hAnsi="Times New Roman" w:cs="Times New Roman"/>
                <w:bCs/>
                <w:sz w:val="20"/>
                <w:szCs w:val="20"/>
              </w:rPr>
            </w:pPr>
            <w:r w:rsidRPr="006321C8">
              <w:rPr>
                <w:rFonts w:ascii="Times New Roman" w:hAnsi="Times New Roman" w:cs="Times New Roman"/>
                <w:bCs/>
                <w:sz w:val="20"/>
                <w:szCs w:val="20"/>
              </w:rPr>
              <w:t xml:space="preserve">Art. 1 pkt 2 (art. 9 ust. 1b i 6 </w:t>
            </w:r>
            <w:proofErr w:type="spellStart"/>
            <w:r w:rsidRPr="006321C8">
              <w:rPr>
                <w:rFonts w:ascii="Times New Roman" w:hAnsi="Times New Roman" w:cs="Times New Roman"/>
                <w:bCs/>
                <w:sz w:val="20"/>
                <w:szCs w:val="20"/>
              </w:rPr>
              <w:t>uKRS</w:t>
            </w:r>
            <w:proofErr w:type="spellEnd"/>
            <w:r w:rsidRPr="006321C8">
              <w:rPr>
                <w:rFonts w:ascii="Times New Roman" w:hAnsi="Times New Roman" w:cs="Times New Roman"/>
                <w:bCs/>
                <w:sz w:val="20"/>
                <w:szCs w:val="20"/>
              </w:rPr>
              <w:t>)</w:t>
            </w:r>
          </w:p>
        </w:tc>
        <w:tc>
          <w:tcPr>
            <w:tcW w:w="5670" w:type="dxa"/>
            <w:vAlign w:val="center"/>
          </w:tcPr>
          <w:p w14:paraId="24B59330" w14:textId="6C157C32" w:rsidR="00DF1BBF" w:rsidRPr="00DF1BBF" w:rsidRDefault="00DF1BBF" w:rsidP="00DF1BBF">
            <w:pPr>
              <w:jc w:val="both"/>
              <w:rPr>
                <w:rFonts w:ascii="Times New Roman" w:eastAsia="Open Sans Light" w:hAnsi="Times New Roman" w:cs="Times New Roman"/>
                <w:bCs/>
                <w:sz w:val="20"/>
                <w:szCs w:val="20"/>
              </w:rPr>
            </w:pPr>
            <w:r w:rsidRPr="00DF1BBF">
              <w:rPr>
                <w:rFonts w:ascii="Times New Roman" w:eastAsia="Open Sans Light" w:hAnsi="Times New Roman" w:cs="Times New Roman"/>
                <w:bCs/>
                <w:sz w:val="20"/>
                <w:szCs w:val="20"/>
              </w:rPr>
              <w:t>Obecna praktyka Sądów jest bardzo dobra. Przy pierwszym wpisie dokumenty papierowe, które wpływają do Sądu są umieszczane w zbiorze dokumentów pod nadaną</w:t>
            </w:r>
            <w:r>
              <w:rPr>
                <w:rFonts w:ascii="Times New Roman" w:eastAsia="Open Sans Light" w:hAnsi="Times New Roman" w:cs="Times New Roman"/>
                <w:bCs/>
                <w:sz w:val="20"/>
                <w:szCs w:val="20"/>
              </w:rPr>
              <w:t xml:space="preserve"> </w:t>
            </w:r>
            <w:r w:rsidRPr="00DF1BBF">
              <w:rPr>
                <w:rFonts w:ascii="Times New Roman" w:eastAsia="Open Sans Light" w:hAnsi="Times New Roman" w:cs="Times New Roman"/>
                <w:bCs/>
                <w:sz w:val="20"/>
                <w:szCs w:val="20"/>
              </w:rPr>
              <w:t xml:space="preserve">sygnaturą (duża część podmiotów jest od razu rejestrowana), zakładany jest zbiór dokumentów, który jest </w:t>
            </w:r>
            <w:proofErr w:type="spellStart"/>
            <w:r w:rsidRPr="00DF1BBF">
              <w:rPr>
                <w:rFonts w:ascii="Times New Roman" w:eastAsia="Open Sans Light" w:hAnsi="Times New Roman" w:cs="Times New Roman"/>
                <w:bCs/>
                <w:sz w:val="20"/>
                <w:szCs w:val="20"/>
              </w:rPr>
              <w:t>tagowany</w:t>
            </w:r>
            <w:proofErr w:type="spellEnd"/>
            <w:r w:rsidRPr="00DF1BBF">
              <w:rPr>
                <w:rFonts w:ascii="Times New Roman" w:eastAsia="Open Sans Light" w:hAnsi="Times New Roman" w:cs="Times New Roman"/>
                <w:bCs/>
                <w:sz w:val="20"/>
                <w:szCs w:val="20"/>
              </w:rPr>
              <w:t xml:space="preserve">. Zakładanie kolejnych okładek dla pierwszych wpisów tj. zakładanie kolejnego zbioru dokumentów dla akt sprawy rozpoznawanej po raz pierwszy to generowanie kosztów dla Sądu, a przede wszystkim dla Sądu Rejonowego dla m.st. Warszawy w którym rozpoznawana jest bardzo duża ilość spraw. Kolejny zbiór dokumentów to nie tylko koszty, ale także niepotrzebna praca pracowników Sekretariatu – każdą bowiem okładkę zbioru dokumentów należy opisać. Zbiór dokumentów dla akt sprawy rozpoznawanej po raz pierwszy także należy </w:t>
            </w:r>
            <w:proofErr w:type="spellStart"/>
            <w:r w:rsidRPr="00DF1BBF">
              <w:rPr>
                <w:rFonts w:ascii="Times New Roman" w:eastAsia="Open Sans Light" w:hAnsi="Times New Roman" w:cs="Times New Roman"/>
                <w:bCs/>
                <w:sz w:val="20"/>
                <w:szCs w:val="20"/>
              </w:rPr>
              <w:t>zatagować</w:t>
            </w:r>
            <w:proofErr w:type="spellEnd"/>
            <w:r w:rsidRPr="00DF1BBF">
              <w:rPr>
                <w:rFonts w:ascii="Times New Roman" w:eastAsia="Open Sans Light" w:hAnsi="Times New Roman" w:cs="Times New Roman"/>
                <w:bCs/>
                <w:sz w:val="20"/>
                <w:szCs w:val="20"/>
              </w:rPr>
              <w:t>, aby nie zginął – kolejna praca pracowników Sekretariatu.</w:t>
            </w:r>
          </w:p>
          <w:p w14:paraId="035806AA" w14:textId="64DC525B" w:rsidR="000002F3" w:rsidRPr="005134B0" w:rsidRDefault="00DF1BBF" w:rsidP="00DF1BBF">
            <w:pPr>
              <w:jc w:val="both"/>
              <w:rPr>
                <w:rFonts w:ascii="Times New Roman" w:eastAsia="Open Sans Light" w:hAnsi="Times New Roman" w:cs="Times New Roman"/>
                <w:bCs/>
                <w:sz w:val="20"/>
                <w:szCs w:val="20"/>
              </w:rPr>
            </w:pPr>
            <w:r w:rsidRPr="00DF1BBF">
              <w:rPr>
                <w:rFonts w:ascii="Times New Roman" w:eastAsia="Open Sans Light" w:hAnsi="Times New Roman" w:cs="Times New Roman"/>
                <w:bCs/>
                <w:sz w:val="20"/>
                <w:szCs w:val="20"/>
              </w:rPr>
              <w:t>Jeśli bowiem akta jakiekolwiek zginą Sąd musi je odtwarzać – praca dodatkowa referendarzy sądowych.</w:t>
            </w:r>
          </w:p>
        </w:tc>
        <w:tc>
          <w:tcPr>
            <w:tcW w:w="4076" w:type="dxa"/>
          </w:tcPr>
          <w:p w14:paraId="34E236F0" w14:textId="77777777" w:rsidR="00846003" w:rsidRPr="00DF1BBF" w:rsidRDefault="00DF1BBF" w:rsidP="00F43ABB">
            <w:pPr>
              <w:autoSpaceDE w:val="0"/>
              <w:autoSpaceDN w:val="0"/>
              <w:adjustRightInd w:val="0"/>
              <w:jc w:val="both"/>
              <w:rPr>
                <w:rFonts w:ascii="Times New Roman" w:eastAsia="Times New Roman" w:hAnsi="Times New Roman" w:cs="Times New Roman"/>
                <w:b/>
                <w:sz w:val="20"/>
                <w:szCs w:val="20"/>
                <w:lang w:eastAsia="pl-PL"/>
              </w:rPr>
            </w:pPr>
            <w:r w:rsidRPr="00DF1BBF">
              <w:rPr>
                <w:rFonts w:ascii="Times New Roman" w:eastAsia="Times New Roman" w:hAnsi="Times New Roman" w:cs="Times New Roman"/>
                <w:b/>
                <w:sz w:val="20"/>
                <w:szCs w:val="20"/>
                <w:lang w:eastAsia="pl-PL"/>
              </w:rPr>
              <w:t>Uwaga nieuwzględniona</w:t>
            </w:r>
          </w:p>
          <w:p w14:paraId="63046439" w14:textId="70FB8A32" w:rsidR="00DF1BBF" w:rsidRPr="005134B0" w:rsidRDefault="00DF1BBF" w:rsidP="00F43ABB">
            <w:pPr>
              <w:autoSpaceDE w:val="0"/>
              <w:autoSpaceDN w:val="0"/>
              <w:adjustRightInd w:val="0"/>
              <w:jc w:val="both"/>
              <w:rPr>
                <w:rFonts w:ascii="Times New Roman" w:eastAsia="Times New Roman" w:hAnsi="Times New Roman" w:cs="Times New Roman"/>
                <w:bCs/>
                <w:sz w:val="20"/>
                <w:szCs w:val="20"/>
                <w:lang w:eastAsia="pl-PL"/>
              </w:rPr>
            </w:pPr>
            <w:r w:rsidRPr="00DF1BBF">
              <w:rPr>
                <w:rFonts w:ascii="Times New Roman" w:eastAsia="Times New Roman" w:hAnsi="Times New Roman" w:cs="Times New Roman"/>
                <w:bCs/>
                <w:sz w:val="20"/>
                <w:szCs w:val="20"/>
                <w:lang w:eastAsia="pl-PL"/>
              </w:rPr>
              <w:t>Zbiór dokumentów sprawy rozpoznawanej po wpisie podmiotu do Rejestru staje się zbiorem dokumentów w rozumieniu art. 9 ust. 6 ustawy o KRS. Od strony praktycznej wiązać się to powinno tylko ze zmianą nazwy okładki ze zbioru dokumentów sprawy rozpoznawanej na zbiór dokumentów.</w:t>
            </w:r>
          </w:p>
        </w:tc>
      </w:tr>
      <w:tr w:rsidR="00FC45B3" w:rsidRPr="005134B0" w14:paraId="397FE3FB" w14:textId="77777777" w:rsidTr="00B241C8">
        <w:trPr>
          <w:jc w:val="center"/>
        </w:trPr>
        <w:tc>
          <w:tcPr>
            <w:tcW w:w="562" w:type="dxa"/>
          </w:tcPr>
          <w:p w14:paraId="267F4EFA" w14:textId="5D6FCDA1" w:rsidR="00FC45B3"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11.</w:t>
            </w:r>
          </w:p>
        </w:tc>
        <w:tc>
          <w:tcPr>
            <w:tcW w:w="1843" w:type="dxa"/>
            <w:vAlign w:val="center"/>
          </w:tcPr>
          <w:p w14:paraId="7D05A622" w14:textId="22FA8AC2" w:rsidR="00FC45B3" w:rsidRPr="005134B0" w:rsidRDefault="00DF1BB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Lublinie</w:t>
            </w:r>
          </w:p>
        </w:tc>
        <w:tc>
          <w:tcPr>
            <w:tcW w:w="1843" w:type="dxa"/>
            <w:vAlign w:val="center"/>
          </w:tcPr>
          <w:p w14:paraId="5CC353F8" w14:textId="5CCB3DA7" w:rsidR="00FC45B3" w:rsidRPr="005134B0" w:rsidRDefault="00DF1BB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Art. 1 pkt 3 (</w:t>
            </w:r>
            <w:r w:rsidRPr="00DF1BBF">
              <w:rPr>
                <w:rFonts w:ascii="Times New Roman" w:hAnsi="Times New Roman" w:cs="Times New Roman"/>
                <w:bCs/>
                <w:sz w:val="20"/>
                <w:szCs w:val="20"/>
              </w:rPr>
              <w:t xml:space="preserve">art. 9a ust. 2 </w:t>
            </w:r>
            <w:proofErr w:type="spellStart"/>
            <w:r w:rsidRPr="00DF1BBF">
              <w:rPr>
                <w:rFonts w:ascii="Times New Roman" w:hAnsi="Times New Roman" w:cs="Times New Roman"/>
                <w:bCs/>
                <w:sz w:val="20"/>
                <w:szCs w:val="20"/>
              </w:rPr>
              <w:t>uKRS</w:t>
            </w:r>
            <w:proofErr w:type="spellEnd"/>
            <w:r>
              <w:rPr>
                <w:rFonts w:ascii="Times New Roman" w:hAnsi="Times New Roman" w:cs="Times New Roman"/>
                <w:bCs/>
                <w:sz w:val="20"/>
                <w:szCs w:val="20"/>
              </w:rPr>
              <w:t>)</w:t>
            </w:r>
          </w:p>
        </w:tc>
        <w:tc>
          <w:tcPr>
            <w:tcW w:w="5670" w:type="dxa"/>
            <w:vAlign w:val="center"/>
          </w:tcPr>
          <w:p w14:paraId="5D1405B0" w14:textId="5BEB4E5F" w:rsidR="00DF1BBF" w:rsidRPr="00DF1BBF" w:rsidRDefault="00DF1BBF" w:rsidP="00DF1BBF">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N</w:t>
            </w:r>
            <w:r w:rsidRPr="00DF1BBF">
              <w:rPr>
                <w:rFonts w:ascii="Times New Roman" w:eastAsia="Open Sans Light" w:hAnsi="Times New Roman" w:cs="Times New Roman"/>
                <w:bCs/>
                <w:sz w:val="20"/>
                <w:szCs w:val="20"/>
              </w:rPr>
              <w:t>iezasadny jest zwrot „przez kierownika jednostki będącej podmiotem wpisanym do Rejestru”.</w:t>
            </w:r>
          </w:p>
          <w:p w14:paraId="642B29DF" w14:textId="77777777" w:rsidR="00DF1BBF" w:rsidRPr="00DF1BBF" w:rsidRDefault="00DF1BBF" w:rsidP="00DF1BBF">
            <w:pPr>
              <w:jc w:val="both"/>
              <w:rPr>
                <w:rFonts w:ascii="Times New Roman" w:eastAsia="Open Sans Light" w:hAnsi="Times New Roman" w:cs="Times New Roman"/>
                <w:bCs/>
                <w:sz w:val="20"/>
                <w:szCs w:val="20"/>
              </w:rPr>
            </w:pPr>
            <w:r w:rsidRPr="00DF1BBF">
              <w:rPr>
                <w:rFonts w:ascii="Times New Roman" w:eastAsia="Open Sans Light" w:hAnsi="Times New Roman" w:cs="Times New Roman"/>
                <w:bCs/>
                <w:sz w:val="20"/>
                <w:szCs w:val="20"/>
              </w:rPr>
              <w:t xml:space="preserve">Po pierwsze jest to zbędne powtórzenie wymogu, który wynika z art. 69 ustawy o rachunkowości. O tym, dla których podmiotów </w:t>
            </w:r>
            <w:r w:rsidRPr="00DF1BBF">
              <w:rPr>
                <w:rFonts w:ascii="Times New Roman" w:eastAsia="Open Sans Light" w:hAnsi="Times New Roman" w:cs="Times New Roman"/>
                <w:bCs/>
                <w:sz w:val="20"/>
                <w:szCs w:val="20"/>
              </w:rPr>
              <w:lastRenderedPageBreak/>
              <w:t>prowadzone jest repozytorium dokumentów finansowych (a zatem, które podmioty mają składać dokumenty finansowe do tego repozytorium) mowa jest w art. 9a ust. 1. Przepis ust. 2 informuje o tym, które dokumenty składa się do RDF, a nie kto ma obowiązek je składać.</w:t>
            </w:r>
          </w:p>
          <w:p w14:paraId="66F2304B" w14:textId="77777777" w:rsidR="00DF1BBF" w:rsidRPr="00DF1BBF" w:rsidRDefault="00DF1BBF" w:rsidP="00DF1BBF">
            <w:pPr>
              <w:jc w:val="both"/>
              <w:rPr>
                <w:rFonts w:ascii="Times New Roman" w:eastAsia="Open Sans Light" w:hAnsi="Times New Roman" w:cs="Times New Roman"/>
                <w:bCs/>
                <w:sz w:val="20"/>
                <w:szCs w:val="20"/>
              </w:rPr>
            </w:pPr>
            <w:r w:rsidRPr="00DF1BBF">
              <w:rPr>
                <w:rFonts w:ascii="Times New Roman" w:eastAsia="Open Sans Light" w:hAnsi="Times New Roman" w:cs="Times New Roman"/>
                <w:bCs/>
                <w:sz w:val="20"/>
                <w:szCs w:val="20"/>
              </w:rPr>
              <w:t>Po drugie wskazany zwrot jest mylącym powielaniem tezy, że podmiotem zobowiązanym do składania dokumentów finansowych jest kierownik jednostki/podmiotu rejestrowego, a nie sama jednostka/podmiot rejestrowy. Z punktu widzenia prawa rejestrów obowiązek rejestrowy ciąży na podmiocie rejestrowym, a nie kierowniku tego podmiotu, który jedynie ten podmiot reprezentuje. Ujęcie tego obowiązku z perspektywy kierownika jednostki może mieć swoje uzasadnienie na gruncie ustawy o rachunkowości, lecz na gruncie ustawy o KRS obowiązek rejestrowy dotyczy podmiotu rejestrowego (jednostki – wg nomenklatury ustawy o rachunkowości), a nie kierownika podmiotu rejestrowego/jednostki.</w:t>
            </w:r>
          </w:p>
          <w:p w14:paraId="4C794768" w14:textId="743396BE" w:rsidR="00FC45B3" w:rsidRPr="005134B0" w:rsidRDefault="00DF1BBF" w:rsidP="00DF1BBF">
            <w:pPr>
              <w:jc w:val="both"/>
              <w:rPr>
                <w:rFonts w:ascii="Times New Roman" w:eastAsia="Open Sans Light" w:hAnsi="Times New Roman" w:cs="Times New Roman"/>
                <w:bCs/>
                <w:sz w:val="20"/>
                <w:szCs w:val="20"/>
              </w:rPr>
            </w:pPr>
            <w:r w:rsidRPr="00DF1BBF">
              <w:rPr>
                <w:rFonts w:ascii="Times New Roman" w:eastAsia="Open Sans Light" w:hAnsi="Times New Roman" w:cs="Times New Roman"/>
                <w:bCs/>
                <w:sz w:val="20"/>
                <w:szCs w:val="20"/>
              </w:rPr>
              <w:t xml:space="preserve">Ponadto, w projektowanej zmianie brzmienia art. 9a ust. 2 ustawy o KRS, wprowadza się błędne wyrażenie „we właściwym rejestrze sądowym”, którego ani w tym przepisie, ani w art. 19e ustawy o KRS, nie ma. W kontekście dokumentów finansowych ustawa o KRS w ogóle nie posługuje się tym błędnym wyrażeniem. Wyrażenie to jest reliktem pozostawionym w ustawie o rachunkowości pomimo faktu, że od 15 marca 2018 r. podmioty z KRS składają dokumenty finansowe nie we właściwym rejestrze sądowym, lecz do Repozytorium Dokumentów Finansowych (RDF), które nie jest ani rejestrem, ani rejestrem sądowym. We właściwym rejestrze sądowym dokumenty finansowe składają natomiast nadal podmioty inne niż podmioty z KRS (np. fundusze, dla których osobny rejestr funduszy prowadzi Sąd Okręgowy w Warszawie). Pozostawianie po tylu latach tej zaszłości w ustawie o rachunkowości jest istotnym przeoczeniem ustawodawcy, a problem staje się jeszcze większy, jeśli niniejszy projekt UDER49 przewiduje wprowadzenie tego nieaktualnego wobec podmiotów z KRS wyrażenia do ustawy o KRS i w odniesieniu do podmiotów z KRS. Niniejsza nowelizacja jest dobrą okazją, aby w ustawie o rachunkowości, w art. 69 i innych powiązanych, uporządkować kwestię zwrotu „we właściwym rejestrze sądowym”. Należy także </w:t>
            </w:r>
            <w:r w:rsidRPr="00DF1BBF">
              <w:rPr>
                <w:rFonts w:ascii="Times New Roman" w:eastAsia="Open Sans Light" w:hAnsi="Times New Roman" w:cs="Times New Roman"/>
                <w:bCs/>
                <w:sz w:val="20"/>
                <w:szCs w:val="20"/>
              </w:rPr>
              <w:lastRenderedPageBreak/>
              <w:t>zrezygnować z koncepcji wprowadzenia tego błędnego wyrażenia w art. 9a ust. 2 ustawy o KRS.</w:t>
            </w:r>
          </w:p>
        </w:tc>
        <w:tc>
          <w:tcPr>
            <w:tcW w:w="4076" w:type="dxa"/>
          </w:tcPr>
          <w:p w14:paraId="42540DC9" w14:textId="396D9063" w:rsidR="00444FDB" w:rsidRDefault="00DF1BBF" w:rsidP="00444FDB">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w:t>
            </w:r>
            <w:r w:rsidR="007F3B3A">
              <w:rPr>
                <w:rFonts w:ascii="Times New Roman" w:eastAsia="Times New Roman" w:hAnsi="Times New Roman" w:cs="Times New Roman"/>
                <w:b/>
                <w:sz w:val="20"/>
                <w:szCs w:val="20"/>
                <w:lang w:eastAsia="pl-PL"/>
              </w:rPr>
              <w:t xml:space="preserve"> częściowo</w:t>
            </w:r>
            <w:r>
              <w:rPr>
                <w:rFonts w:ascii="Times New Roman" w:eastAsia="Times New Roman" w:hAnsi="Times New Roman" w:cs="Times New Roman"/>
                <w:b/>
                <w:sz w:val="20"/>
                <w:szCs w:val="20"/>
                <w:lang w:eastAsia="pl-PL"/>
              </w:rPr>
              <w:t xml:space="preserve"> uwzględniona</w:t>
            </w:r>
          </w:p>
          <w:p w14:paraId="64999B49" w14:textId="6A066B5B" w:rsidR="00DF1BBF" w:rsidRDefault="00DF1BBF" w:rsidP="00444FDB">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Projektodawca</w:t>
            </w:r>
            <w:r w:rsidRPr="00DF1BBF">
              <w:rPr>
                <w:rFonts w:ascii="Times New Roman" w:eastAsia="Times New Roman" w:hAnsi="Times New Roman" w:cs="Times New Roman"/>
                <w:bCs/>
                <w:sz w:val="20"/>
                <w:szCs w:val="20"/>
                <w:lang w:eastAsia="pl-PL"/>
              </w:rPr>
              <w:t xml:space="preserve"> proponuje zmianę brzmienia przepisu:                                                                                          </w:t>
            </w:r>
            <w:r>
              <w:rPr>
                <w:rFonts w:ascii="Times New Roman" w:eastAsia="Times New Roman" w:hAnsi="Times New Roman" w:cs="Times New Roman"/>
                <w:bCs/>
                <w:sz w:val="20"/>
                <w:szCs w:val="20"/>
                <w:lang w:eastAsia="pl-PL"/>
              </w:rPr>
              <w:t>„</w:t>
            </w:r>
            <w:r w:rsidRPr="00DF1BBF">
              <w:rPr>
                <w:rFonts w:ascii="Times New Roman" w:eastAsia="Times New Roman" w:hAnsi="Times New Roman" w:cs="Times New Roman"/>
                <w:bCs/>
                <w:sz w:val="20"/>
                <w:szCs w:val="20"/>
                <w:lang w:eastAsia="pl-PL"/>
              </w:rPr>
              <w:t xml:space="preserve">2. Do repozytorium dokumentów finansowych </w:t>
            </w:r>
            <w:r w:rsidRPr="00DF1BBF">
              <w:rPr>
                <w:rFonts w:ascii="Times New Roman" w:eastAsia="Times New Roman" w:hAnsi="Times New Roman" w:cs="Times New Roman"/>
                <w:bCs/>
                <w:sz w:val="20"/>
                <w:szCs w:val="20"/>
                <w:lang w:eastAsia="pl-PL"/>
              </w:rPr>
              <w:lastRenderedPageBreak/>
              <w:t xml:space="preserve">są składane dokumenty, które na podstawie przepisów ustawy z dnia 29 września 1994 r. o rachunkowości (Dz. U. z 2023 r. poz. 120 z </w:t>
            </w:r>
            <w:proofErr w:type="spellStart"/>
            <w:r w:rsidRPr="00DF1BBF">
              <w:rPr>
                <w:rFonts w:ascii="Times New Roman" w:eastAsia="Times New Roman" w:hAnsi="Times New Roman" w:cs="Times New Roman"/>
                <w:bCs/>
                <w:sz w:val="20"/>
                <w:szCs w:val="20"/>
                <w:lang w:eastAsia="pl-PL"/>
              </w:rPr>
              <w:t>późn</w:t>
            </w:r>
            <w:proofErr w:type="spellEnd"/>
            <w:r w:rsidRPr="00DF1BBF">
              <w:rPr>
                <w:rFonts w:ascii="Times New Roman" w:eastAsia="Times New Roman" w:hAnsi="Times New Roman" w:cs="Times New Roman"/>
                <w:bCs/>
                <w:sz w:val="20"/>
                <w:szCs w:val="20"/>
                <w:lang w:eastAsia="pl-PL"/>
              </w:rPr>
              <w:t>. zm.) podlegają złożeniu we właściwym rejestrze sądowym (dokumenty finansowe).</w:t>
            </w:r>
            <w:r>
              <w:rPr>
                <w:rFonts w:ascii="Times New Roman" w:eastAsia="Times New Roman" w:hAnsi="Times New Roman" w:cs="Times New Roman"/>
                <w:bCs/>
                <w:sz w:val="20"/>
                <w:szCs w:val="20"/>
                <w:lang w:eastAsia="pl-PL"/>
              </w:rPr>
              <w:t>”</w:t>
            </w:r>
          </w:p>
          <w:p w14:paraId="63B5335A" w14:textId="0EC6B818" w:rsidR="00DF1BBF" w:rsidRPr="00DF1BBF" w:rsidRDefault="00DF1BBF" w:rsidP="00444FDB">
            <w:pPr>
              <w:autoSpaceDE w:val="0"/>
              <w:autoSpaceDN w:val="0"/>
              <w:adjustRightInd w:val="0"/>
              <w:jc w:val="both"/>
              <w:rPr>
                <w:rFonts w:ascii="Times New Roman" w:eastAsia="Times New Roman" w:hAnsi="Times New Roman" w:cs="Times New Roman"/>
                <w:bCs/>
                <w:sz w:val="20"/>
                <w:szCs w:val="20"/>
                <w:lang w:eastAsia="pl-PL"/>
              </w:rPr>
            </w:pPr>
            <w:r w:rsidRPr="00DF1BBF">
              <w:rPr>
                <w:rFonts w:ascii="Times New Roman" w:eastAsia="Times New Roman" w:hAnsi="Times New Roman" w:cs="Times New Roman"/>
                <w:bCs/>
                <w:sz w:val="20"/>
                <w:szCs w:val="20"/>
                <w:lang w:eastAsia="pl-PL"/>
              </w:rPr>
              <w:t xml:space="preserve">W zakresie w jakim projektowany przepis odwołuje się do </w:t>
            </w:r>
            <w:r>
              <w:rPr>
                <w:rFonts w:ascii="Times New Roman" w:eastAsia="Times New Roman" w:hAnsi="Times New Roman" w:cs="Times New Roman"/>
                <w:bCs/>
                <w:sz w:val="20"/>
                <w:szCs w:val="20"/>
                <w:lang w:eastAsia="pl-PL"/>
              </w:rPr>
              <w:t>„</w:t>
            </w:r>
            <w:r w:rsidRPr="00DF1BBF">
              <w:rPr>
                <w:rFonts w:ascii="Times New Roman" w:eastAsia="Times New Roman" w:hAnsi="Times New Roman" w:cs="Times New Roman"/>
                <w:bCs/>
                <w:sz w:val="20"/>
                <w:szCs w:val="20"/>
                <w:lang w:eastAsia="pl-PL"/>
              </w:rPr>
              <w:t>właściwego rejestru sądowego</w:t>
            </w:r>
            <w:r>
              <w:rPr>
                <w:rFonts w:ascii="Times New Roman" w:eastAsia="Times New Roman" w:hAnsi="Times New Roman" w:cs="Times New Roman"/>
                <w:bCs/>
                <w:sz w:val="20"/>
                <w:szCs w:val="20"/>
                <w:lang w:eastAsia="pl-PL"/>
              </w:rPr>
              <w:t>”</w:t>
            </w:r>
            <w:r w:rsidRPr="00DF1BBF">
              <w:rPr>
                <w:rFonts w:ascii="Times New Roman" w:eastAsia="Times New Roman" w:hAnsi="Times New Roman" w:cs="Times New Roman"/>
                <w:bCs/>
                <w:sz w:val="20"/>
                <w:szCs w:val="20"/>
                <w:lang w:eastAsia="pl-PL"/>
              </w:rPr>
              <w:t xml:space="preserve"> należy wskazać, że </w:t>
            </w:r>
            <w:r w:rsidR="001B0B65">
              <w:rPr>
                <w:rFonts w:ascii="Times New Roman" w:eastAsia="Times New Roman" w:hAnsi="Times New Roman" w:cs="Times New Roman"/>
                <w:bCs/>
                <w:sz w:val="20"/>
                <w:szCs w:val="20"/>
                <w:lang w:eastAsia="pl-PL"/>
              </w:rPr>
              <w:t>to sformułowanie</w:t>
            </w:r>
            <w:r w:rsidRPr="00DF1BBF">
              <w:rPr>
                <w:rFonts w:ascii="Times New Roman" w:eastAsia="Times New Roman" w:hAnsi="Times New Roman" w:cs="Times New Roman"/>
                <w:bCs/>
                <w:sz w:val="20"/>
                <w:szCs w:val="20"/>
                <w:lang w:eastAsia="pl-PL"/>
              </w:rPr>
              <w:t xml:space="preserve"> pozostaje spójne z obowiązującymi przepisami ustawy o rachunkowości.</w:t>
            </w:r>
            <w:r w:rsidR="0048532A">
              <w:rPr>
                <w:rFonts w:ascii="Times New Roman" w:eastAsia="Times New Roman" w:hAnsi="Times New Roman" w:cs="Times New Roman"/>
                <w:bCs/>
                <w:sz w:val="20"/>
                <w:szCs w:val="20"/>
                <w:lang w:eastAsia="pl-PL"/>
              </w:rPr>
              <w:t xml:space="preserve"> </w:t>
            </w:r>
            <w:r w:rsidR="006321C8">
              <w:rPr>
                <w:rFonts w:ascii="Times New Roman" w:eastAsia="Times New Roman" w:hAnsi="Times New Roman" w:cs="Times New Roman"/>
                <w:bCs/>
                <w:sz w:val="20"/>
                <w:szCs w:val="20"/>
                <w:lang w:eastAsia="pl-PL"/>
              </w:rPr>
              <w:t xml:space="preserve">Zgłaszający uwagę </w:t>
            </w:r>
            <w:r w:rsidR="0048532A">
              <w:rPr>
                <w:rFonts w:ascii="Times New Roman" w:eastAsia="Times New Roman" w:hAnsi="Times New Roman" w:cs="Times New Roman"/>
                <w:bCs/>
                <w:sz w:val="20"/>
                <w:szCs w:val="20"/>
                <w:lang w:eastAsia="pl-PL"/>
              </w:rPr>
              <w:t>sam wskazuje, że w</w:t>
            </w:r>
            <w:r w:rsidR="0048532A" w:rsidRPr="0048532A">
              <w:rPr>
                <w:rFonts w:ascii="Times New Roman" w:eastAsia="Times New Roman" w:hAnsi="Times New Roman" w:cs="Times New Roman"/>
                <w:bCs/>
                <w:sz w:val="20"/>
                <w:szCs w:val="20"/>
                <w:lang w:eastAsia="pl-PL"/>
              </w:rPr>
              <w:t>e właściwym rejestrze sądowym dokumenty finansowe składają nadal podmioty inne niż podmioty z KRS (np. fundusze, dla których osobny rejestr funduszy prowadzi Sąd Okręgowy w Warszawie)</w:t>
            </w:r>
            <w:r w:rsidR="0048532A">
              <w:rPr>
                <w:rFonts w:ascii="Times New Roman" w:eastAsia="Times New Roman" w:hAnsi="Times New Roman" w:cs="Times New Roman"/>
                <w:bCs/>
                <w:sz w:val="20"/>
                <w:szCs w:val="20"/>
                <w:lang w:eastAsia="pl-PL"/>
              </w:rPr>
              <w:t>.</w:t>
            </w:r>
            <w:r w:rsidRPr="00DF1BBF">
              <w:rPr>
                <w:rFonts w:ascii="Times New Roman" w:eastAsia="Times New Roman" w:hAnsi="Times New Roman" w:cs="Times New Roman"/>
                <w:bCs/>
                <w:sz w:val="20"/>
                <w:szCs w:val="20"/>
                <w:lang w:eastAsia="pl-PL"/>
              </w:rPr>
              <w:t xml:space="preserve"> Zmiana przepisów ustawy o rachunkowości wymagałaby</w:t>
            </w:r>
            <w:r w:rsidR="0048532A">
              <w:rPr>
                <w:rFonts w:ascii="Times New Roman" w:eastAsia="Times New Roman" w:hAnsi="Times New Roman" w:cs="Times New Roman"/>
                <w:bCs/>
                <w:sz w:val="20"/>
                <w:szCs w:val="20"/>
                <w:lang w:eastAsia="pl-PL"/>
              </w:rPr>
              <w:t xml:space="preserve"> zatem</w:t>
            </w:r>
            <w:r w:rsidRPr="00DF1BBF">
              <w:rPr>
                <w:rFonts w:ascii="Times New Roman" w:eastAsia="Times New Roman" w:hAnsi="Times New Roman" w:cs="Times New Roman"/>
                <w:bCs/>
                <w:sz w:val="20"/>
                <w:szCs w:val="20"/>
                <w:lang w:eastAsia="pl-PL"/>
              </w:rPr>
              <w:t xml:space="preserve"> pogłębionych prac analitycznych, przy współudziale MF, co znacząco opóźniłoby prace nad niniejszym projektem. Uwaga nie odnosi się do istoty projektu</w:t>
            </w:r>
            <w:r w:rsidR="00590D7C">
              <w:rPr>
                <w:rFonts w:ascii="Times New Roman" w:eastAsia="Times New Roman" w:hAnsi="Times New Roman" w:cs="Times New Roman"/>
                <w:bCs/>
                <w:sz w:val="20"/>
                <w:szCs w:val="20"/>
                <w:lang w:eastAsia="pl-PL"/>
              </w:rPr>
              <w:t>, w</w:t>
            </w:r>
            <w:r w:rsidRPr="00DF1BBF">
              <w:rPr>
                <w:rFonts w:ascii="Times New Roman" w:eastAsia="Times New Roman" w:hAnsi="Times New Roman" w:cs="Times New Roman"/>
                <w:bCs/>
                <w:sz w:val="20"/>
                <w:szCs w:val="20"/>
                <w:lang w:eastAsia="pl-PL"/>
              </w:rPr>
              <w:t xml:space="preserve"> związku z </w:t>
            </w:r>
            <w:r w:rsidR="00590D7C">
              <w:rPr>
                <w:rFonts w:ascii="Times New Roman" w:eastAsia="Times New Roman" w:hAnsi="Times New Roman" w:cs="Times New Roman"/>
                <w:bCs/>
                <w:sz w:val="20"/>
                <w:szCs w:val="20"/>
                <w:lang w:eastAsia="pl-PL"/>
              </w:rPr>
              <w:t xml:space="preserve">czym </w:t>
            </w:r>
            <w:r w:rsidRPr="00DF1BBF">
              <w:rPr>
                <w:rFonts w:ascii="Times New Roman" w:eastAsia="Times New Roman" w:hAnsi="Times New Roman" w:cs="Times New Roman"/>
                <w:bCs/>
                <w:sz w:val="20"/>
                <w:szCs w:val="20"/>
                <w:lang w:eastAsia="pl-PL"/>
              </w:rPr>
              <w:t xml:space="preserve">w tym zakresie </w:t>
            </w:r>
            <w:r w:rsidR="0048532A">
              <w:rPr>
                <w:rFonts w:ascii="Times New Roman" w:eastAsia="Times New Roman" w:hAnsi="Times New Roman" w:cs="Times New Roman"/>
                <w:bCs/>
                <w:sz w:val="20"/>
                <w:szCs w:val="20"/>
                <w:lang w:eastAsia="pl-PL"/>
              </w:rPr>
              <w:t>mogą zostać</w:t>
            </w:r>
            <w:r w:rsidRPr="00DF1BBF">
              <w:rPr>
                <w:rFonts w:ascii="Times New Roman" w:eastAsia="Times New Roman" w:hAnsi="Times New Roman" w:cs="Times New Roman"/>
                <w:bCs/>
                <w:sz w:val="20"/>
                <w:szCs w:val="20"/>
                <w:lang w:eastAsia="pl-PL"/>
              </w:rPr>
              <w:t xml:space="preserve"> </w:t>
            </w:r>
            <w:r w:rsidR="001B0B65">
              <w:rPr>
                <w:rFonts w:ascii="Times New Roman" w:eastAsia="Times New Roman" w:hAnsi="Times New Roman" w:cs="Times New Roman"/>
                <w:bCs/>
                <w:sz w:val="20"/>
                <w:szCs w:val="20"/>
                <w:lang w:eastAsia="pl-PL"/>
              </w:rPr>
              <w:t xml:space="preserve">ewentualnie </w:t>
            </w:r>
            <w:r w:rsidRPr="00DF1BBF">
              <w:rPr>
                <w:rFonts w:ascii="Times New Roman" w:eastAsia="Times New Roman" w:hAnsi="Times New Roman" w:cs="Times New Roman"/>
                <w:bCs/>
                <w:sz w:val="20"/>
                <w:szCs w:val="20"/>
                <w:lang w:eastAsia="pl-PL"/>
              </w:rPr>
              <w:t>wszczęte odrębne prace analityczne</w:t>
            </w:r>
            <w:r w:rsidR="00590D7C">
              <w:rPr>
                <w:rFonts w:ascii="Times New Roman" w:eastAsia="Times New Roman" w:hAnsi="Times New Roman" w:cs="Times New Roman"/>
                <w:bCs/>
                <w:sz w:val="20"/>
                <w:szCs w:val="20"/>
                <w:lang w:eastAsia="pl-PL"/>
              </w:rPr>
              <w:t xml:space="preserve"> mające na celu nowelizację ustawy o rachunkowości</w:t>
            </w:r>
            <w:r w:rsidRPr="00DF1BBF">
              <w:rPr>
                <w:rFonts w:ascii="Times New Roman" w:eastAsia="Times New Roman" w:hAnsi="Times New Roman" w:cs="Times New Roman"/>
                <w:bCs/>
                <w:sz w:val="20"/>
                <w:szCs w:val="20"/>
                <w:lang w:eastAsia="pl-PL"/>
              </w:rPr>
              <w:t>.</w:t>
            </w:r>
          </w:p>
        </w:tc>
      </w:tr>
      <w:tr w:rsidR="00A56327" w:rsidRPr="005134B0" w14:paraId="7B7D1255" w14:textId="77777777" w:rsidTr="00B241C8">
        <w:trPr>
          <w:jc w:val="center"/>
        </w:trPr>
        <w:tc>
          <w:tcPr>
            <w:tcW w:w="562" w:type="dxa"/>
          </w:tcPr>
          <w:p w14:paraId="366705AB" w14:textId="16A17F15" w:rsidR="00A56327"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12.</w:t>
            </w:r>
          </w:p>
        </w:tc>
        <w:tc>
          <w:tcPr>
            <w:tcW w:w="1843" w:type="dxa"/>
            <w:vAlign w:val="center"/>
          </w:tcPr>
          <w:p w14:paraId="295153A7" w14:textId="4B4329F5" w:rsidR="00A56327" w:rsidRPr="005134B0" w:rsidRDefault="007F3B3A"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3003020A" w14:textId="5B1513BB" w:rsidR="00A56327" w:rsidRPr="006321C8" w:rsidRDefault="007F3B3A" w:rsidP="00F43ABB">
            <w:pPr>
              <w:spacing w:before="120" w:after="120"/>
              <w:jc w:val="both"/>
              <w:rPr>
                <w:rFonts w:ascii="Times New Roman" w:hAnsi="Times New Roman" w:cs="Times New Roman"/>
                <w:bCs/>
                <w:sz w:val="20"/>
                <w:szCs w:val="20"/>
                <w:lang w:val="en-GB"/>
              </w:rPr>
            </w:pPr>
            <w:r w:rsidRPr="006321C8">
              <w:rPr>
                <w:rFonts w:ascii="Times New Roman" w:hAnsi="Times New Roman" w:cs="Times New Roman"/>
                <w:bCs/>
                <w:sz w:val="20"/>
                <w:szCs w:val="20"/>
                <w:lang w:val="en-GB"/>
              </w:rPr>
              <w:t xml:space="preserve">Art. 1 </w:t>
            </w:r>
            <w:proofErr w:type="spellStart"/>
            <w:r w:rsidRPr="006321C8">
              <w:rPr>
                <w:rFonts w:ascii="Times New Roman" w:hAnsi="Times New Roman" w:cs="Times New Roman"/>
                <w:bCs/>
                <w:sz w:val="20"/>
                <w:szCs w:val="20"/>
                <w:lang w:val="en-GB"/>
              </w:rPr>
              <w:t>pkt</w:t>
            </w:r>
            <w:proofErr w:type="spellEnd"/>
            <w:r w:rsidRPr="006321C8">
              <w:rPr>
                <w:rFonts w:ascii="Times New Roman" w:hAnsi="Times New Roman" w:cs="Times New Roman"/>
                <w:bCs/>
                <w:sz w:val="20"/>
                <w:szCs w:val="20"/>
                <w:lang w:val="en-GB"/>
              </w:rPr>
              <w:t xml:space="preserve"> 4 lit. b (art. 10 </w:t>
            </w:r>
            <w:proofErr w:type="spellStart"/>
            <w:r w:rsidRPr="006321C8">
              <w:rPr>
                <w:rFonts w:ascii="Times New Roman" w:hAnsi="Times New Roman" w:cs="Times New Roman"/>
                <w:bCs/>
                <w:sz w:val="20"/>
                <w:szCs w:val="20"/>
                <w:lang w:val="en-GB"/>
              </w:rPr>
              <w:t>ust</w:t>
            </w:r>
            <w:proofErr w:type="spellEnd"/>
            <w:r w:rsidRPr="006321C8">
              <w:rPr>
                <w:rFonts w:ascii="Times New Roman" w:hAnsi="Times New Roman" w:cs="Times New Roman"/>
                <w:bCs/>
                <w:sz w:val="20"/>
                <w:szCs w:val="20"/>
                <w:lang w:val="en-GB"/>
              </w:rPr>
              <w:t xml:space="preserve">. 4 </w:t>
            </w:r>
            <w:proofErr w:type="spellStart"/>
            <w:r w:rsidRPr="006321C8">
              <w:rPr>
                <w:rFonts w:ascii="Times New Roman" w:hAnsi="Times New Roman" w:cs="Times New Roman"/>
                <w:bCs/>
                <w:sz w:val="20"/>
                <w:szCs w:val="20"/>
                <w:lang w:val="en-GB"/>
              </w:rPr>
              <w:t>uKRS</w:t>
            </w:r>
            <w:proofErr w:type="spellEnd"/>
            <w:r w:rsidRPr="006321C8">
              <w:rPr>
                <w:rFonts w:ascii="Times New Roman" w:hAnsi="Times New Roman" w:cs="Times New Roman"/>
                <w:bCs/>
                <w:sz w:val="20"/>
                <w:szCs w:val="20"/>
                <w:lang w:val="en-GB"/>
              </w:rPr>
              <w:t>)</w:t>
            </w:r>
          </w:p>
        </w:tc>
        <w:tc>
          <w:tcPr>
            <w:tcW w:w="5670" w:type="dxa"/>
            <w:vAlign w:val="center"/>
          </w:tcPr>
          <w:p w14:paraId="7E720156" w14:textId="09600170" w:rsidR="00A56327" w:rsidRPr="005134B0" w:rsidRDefault="007F3B3A" w:rsidP="008330CD">
            <w:pPr>
              <w:jc w:val="both"/>
              <w:rPr>
                <w:rFonts w:ascii="Times New Roman" w:eastAsia="Open Sans Light" w:hAnsi="Times New Roman" w:cs="Times New Roman"/>
                <w:bCs/>
                <w:sz w:val="20"/>
                <w:szCs w:val="20"/>
              </w:rPr>
            </w:pPr>
            <w:r w:rsidRPr="007F3B3A">
              <w:rPr>
                <w:rFonts w:ascii="Times New Roman" w:eastAsia="Open Sans Light" w:hAnsi="Times New Roman" w:cs="Times New Roman"/>
                <w:bCs/>
                <w:sz w:val="20"/>
                <w:szCs w:val="20"/>
              </w:rPr>
              <w:t>….. jeżeli dokumenty takie mają postać papierową przenosi się je do prowadzonego oddzielnie zbioru dokumentów – KIEDY ? od razu czy po uprawomocnieniu wykreślenia</w:t>
            </w:r>
          </w:p>
        </w:tc>
        <w:tc>
          <w:tcPr>
            <w:tcW w:w="4076" w:type="dxa"/>
          </w:tcPr>
          <w:p w14:paraId="2581239E" w14:textId="77777777" w:rsidR="00320F2C" w:rsidRDefault="007F3B3A" w:rsidP="00F43ABB">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76AA39EC" w14:textId="275F549E" w:rsidR="007F3B3A" w:rsidRPr="007F3B3A" w:rsidRDefault="007F3B3A" w:rsidP="00F43ABB">
            <w:pPr>
              <w:autoSpaceDE w:val="0"/>
              <w:autoSpaceDN w:val="0"/>
              <w:adjustRightInd w:val="0"/>
              <w:jc w:val="both"/>
              <w:rPr>
                <w:rFonts w:ascii="Times New Roman" w:eastAsia="Times New Roman" w:hAnsi="Times New Roman" w:cs="Times New Roman"/>
                <w:bCs/>
                <w:sz w:val="20"/>
                <w:szCs w:val="20"/>
                <w:lang w:eastAsia="pl-PL"/>
              </w:rPr>
            </w:pPr>
            <w:r w:rsidRPr="007F3B3A">
              <w:rPr>
                <w:rFonts w:ascii="Times New Roman" w:eastAsia="Times New Roman" w:hAnsi="Times New Roman" w:cs="Times New Roman"/>
                <w:bCs/>
                <w:sz w:val="20"/>
                <w:szCs w:val="20"/>
                <w:lang w:eastAsia="pl-PL"/>
              </w:rPr>
              <w:t xml:space="preserve">Zdaniem </w:t>
            </w:r>
            <w:r>
              <w:rPr>
                <w:rFonts w:ascii="Times New Roman" w:eastAsia="Times New Roman" w:hAnsi="Times New Roman" w:cs="Times New Roman"/>
                <w:bCs/>
                <w:sz w:val="20"/>
                <w:szCs w:val="20"/>
                <w:lang w:eastAsia="pl-PL"/>
              </w:rPr>
              <w:t>projektodawcy</w:t>
            </w:r>
            <w:r w:rsidRPr="007F3B3A">
              <w:rPr>
                <w:rFonts w:ascii="Times New Roman" w:eastAsia="Times New Roman" w:hAnsi="Times New Roman" w:cs="Times New Roman"/>
                <w:bCs/>
                <w:sz w:val="20"/>
                <w:szCs w:val="20"/>
                <w:lang w:eastAsia="pl-PL"/>
              </w:rPr>
              <w:t xml:space="preserve"> przeniesienie takich dokumentów do oddzielnego zbioru dokumentów następuje po uprawomocnieniu się postanowienia o wykreśleniu i nie jest konieczne doprecyzowywanie przepisu w tym zakresie.        </w:t>
            </w:r>
          </w:p>
        </w:tc>
      </w:tr>
      <w:tr w:rsidR="00EA49F7" w:rsidRPr="005134B0" w14:paraId="72E1DB0C" w14:textId="77777777" w:rsidTr="00B241C8">
        <w:trPr>
          <w:jc w:val="center"/>
        </w:trPr>
        <w:tc>
          <w:tcPr>
            <w:tcW w:w="562" w:type="dxa"/>
          </w:tcPr>
          <w:p w14:paraId="04518857" w14:textId="135C0439" w:rsidR="00EA49F7"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13.</w:t>
            </w:r>
          </w:p>
        </w:tc>
        <w:tc>
          <w:tcPr>
            <w:tcW w:w="1843" w:type="dxa"/>
            <w:vAlign w:val="center"/>
          </w:tcPr>
          <w:p w14:paraId="46E821DC" w14:textId="689EAD9D" w:rsidR="00EA49F7" w:rsidRPr="001E5FE3" w:rsidRDefault="00EA49F7"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Rzeszowie</w:t>
            </w:r>
          </w:p>
        </w:tc>
        <w:tc>
          <w:tcPr>
            <w:tcW w:w="1843" w:type="dxa"/>
            <w:vAlign w:val="center"/>
          </w:tcPr>
          <w:p w14:paraId="5267CDDC" w14:textId="44F3A0B1" w:rsidR="00EA49F7" w:rsidRPr="001E5FE3" w:rsidRDefault="00EA49F7"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Art. 1 pkt 6 (</w:t>
            </w:r>
            <w:r w:rsidRPr="00EA49F7">
              <w:rPr>
                <w:rFonts w:ascii="Times New Roman" w:hAnsi="Times New Roman" w:cs="Times New Roman"/>
                <w:bCs/>
                <w:sz w:val="20"/>
                <w:szCs w:val="20"/>
              </w:rPr>
              <w:t>19aa ust. 1 u</w:t>
            </w:r>
            <w:r>
              <w:rPr>
                <w:rFonts w:ascii="Times New Roman" w:hAnsi="Times New Roman" w:cs="Times New Roman"/>
                <w:bCs/>
                <w:sz w:val="20"/>
                <w:szCs w:val="20"/>
              </w:rPr>
              <w:t xml:space="preserve">stawy </w:t>
            </w:r>
            <w:r w:rsidRPr="00EA49F7">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73516210" w14:textId="52454E0A" w:rsidR="00EA49F7" w:rsidRPr="001E5FE3" w:rsidRDefault="00EA49F7" w:rsidP="00ED4ED5">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R</w:t>
            </w:r>
            <w:r w:rsidRPr="00EA49F7">
              <w:rPr>
                <w:rFonts w:ascii="Times New Roman" w:eastAsia="Open Sans Light" w:hAnsi="Times New Roman" w:cs="Times New Roman"/>
                <w:bCs/>
                <w:sz w:val="20"/>
                <w:szCs w:val="20"/>
              </w:rPr>
              <w:t>ozważenia wymaga doprecyzowanie w treści przepisu, że chodzi o dane osobowe niepodlegające wpisowi do Krajowego Rejestru Sądowego albo zgłoszeniu do sądu rejestrowego</w:t>
            </w:r>
          </w:p>
        </w:tc>
        <w:tc>
          <w:tcPr>
            <w:tcW w:w="4076" w:type="dxa"/>
          </w:tcPr>
          <w:p w14:paraId="7F37F76B" w14:textId="3F01D84F" w:rsidR="00EA49F7" w:rsidRDefault="00EA49F7"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142BE44B" w14:textId="03155219" w:rsidR="00EA49F7" w:rsidRPr="00EA49F7" w:rsidRDefault="00EA49F7" w:rsidP="001E5FE3">
            <w:pPr>
              <w:autoSpaceDE w:val="0"/>
              <w:autoSpaceDN w:val="0"/>
              <w:adjustRightInd w:val="0"/>
              <w:jc w:val="both"/>
              <w:rPr>
                <w:rFonts w:ascii="Times New Roman" w:eastAsia="Times New Roman" w:hAnsi="Times New Roman" w:cs="Times New Roman"/>
                <w:bCs/>
                <w:sz w:val="20"/>
                <w:szCs w:val="20"/>
                <w:lang w:eastAsia="pl-PL"/>
              </w:rPr>
            </w:pPr>
            <w:r w:rsidRPr="00EA49F7">
              <w:rPr>
                <w:rFonts w:ascii="Times New Roman" w:eastAsia="Times New Roman" w:hAnsi="Times New Roman" w:cs="Times New Roman"/>
                <w:bCs/>
                <w:sz w:val="20"/>
                <w:szCs w:val="20"/>
                <w:lang w:eastAsia="pl-PL"/>
              </w:rPr>
              <w:t xml:space="preserve">Zdaniem </w:t>
            </w:r>
            <w:r w:rsidR="00AA2662">
              <w:rPr>
                <w:rFonts w:ascii="Times New Roman" w:eastAsia="Times New Roman" w:hAnsi="Times New Roman" w:cs="Times New Roman"/>
                <w:bCs/>
                <w:sz w:val="20"/>
                <w:szCs w:val="20"/>
                <w:lang w:eastAsia="pl-PL"/>
              </w:rPr>
              <w:t>projektodawcy</w:t>
            </w:r>
            <w:r w:rsidRPr="00EA49F7">
              <w:rPr>
                <w:rFonts w:ascii="Times New Roman" w:eastAsia="Times New Roman" w:hAnsi="Times New Roman" w:cs="Times New Roman"/>
                <w:bCs/>
                <w:sz w:val="20"/>
                <w:szCs w:val="20"/>
                <w:lang w:eastAsia="pl-PL"/>
              </w:rPr>
              <w:t xml:space="preserve"> z projektowanego przepisu wynika, że wyciąg powinien być pozbawiony danych, które nie są ujawniane w KRS lub nie podlegają złożeniu do akt rejestrowych.       </w:t>
            </w:r>
          </w:p>
        </w:tc>
      </w:tr>
      <w:tr w:rsidR="00AA2662" w:rsidRPr="005134B0" w14:paraId="57DF73A5" w14:textId="77777777" w:rsidTr="00B241C8">
        <w:trPr>
          <w:jc w:val="center"/>
        </w:trPr>
        <w:tc>
          <w:tcPr>
            <w:tcW w:w="562" w:type="dxa"/>
          </w:tcPr>
          <w:p w14:paraId="2FA44E3E" w14:textId="2D5B6CEF" w:rsidR="00AA2662"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14.</w:t>
            </w:r>
          </w:p>
        </w:tc>
        <w:tc>
          <w:tcPr>
            <w:tcW w:w="1843" w:type="dxa"/>
            <w:vAlign w:val="center"/>
          </w:tcPr>
          <w:p w14:paraId="4D5A6A7B" w14:textId="6CDCA2BB" w:rsidR="00AA2662" w:rsidRPr="001E5FE3" w:rsidRDefault="00AA2662"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20B3C5E1" w14:textId="6C8FF0D6" w:rsidR="00AA2662" w:rsidRPr="001E5FE3" w:rsidRDefault="00AA2662"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Art. 1 pkt 6 (</w:t>
            </w:r>
            <w:r w:rsidRPr="00AA2662">
              <w:rPr>
                <w:rFonts w:ascii="Times New Roman" w:hAnsi="Times New Roman" w:cs="Times New Roman"/>
                <w:bCs/>
                <w:sz w:val="20"/>
                <w:szCs w:val="20"/>
              </w:rPr>
              <w:t xml:space="preserve">dodanie art. 19aa ust. 2 </w:t>
            </w:r>
            <w:r w:rsidR="00C44E4F">
              <w:rPr>
                <w:rFonts w:ascii="Times New Roman" w:hAnsi="Times New Roman" w:cs="Times New Roman"/>
                <w:bCs/>
                <w:sz w:val="20"/>
                <w:szCs w:val="20"/>
              </w:rPr>
              <w:t xml:space="preserve">w </w:t>
            </w:r>
            <w:r>
              <w:rPr>
                <w:rFonts w:ascii="Times New Roman" w:hAnsi="Times New Roman" w:cs="Times New Roman"/>
                <w:bCs/>
                <w:sz w:val="20"/>
                <w:szCs w:val="20"/>
              </w:rPr>
              <w:t>ustaw</w:t>
            </w:r>
            <w:r w:rsidR="00C44E4F">
              <w:rPr>
                <w:rFonts w:ascii="Times New Roman" w:hAnsi="Times New Roman" w:cs="Times New Roman"/>
                <w:bCs/>
                <w:sz w:val="20"/>
                <w:szCs w:val="20"/>
              </w:rPr>
              <w:t>ie</w:t>
            </w:r>
            <w:r>
              <w:rPr>
                <w:rFonts w:ascii="Times New Roman" w:hAnsi="Times New Roman" w:cs="Times New Roman"/>
                <w:bCs/>
                <w:sz w:val="20"/>
                <w:szCs w:val="20"/>
              </w:rPr>
              <w:t xml:space="preserve"> </w:t>
            </w:r>
            <w:r w:rsidRPr="00AA2662">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2BBB105F" w14:textId="0654559E" w:rsidR="00AA2662" w:rsidRPr="001E5FE3" w:rsidRDefault="00AA2662" w:rsidP="00ED4ED5">
            <w:pPr>
              <w:jc w:val="both"/>
              <w:rPr>
                <w:rFonts w:ascii="Times New Roman" w:eastAsia="Open Sans Light" w:hAnsi="Times New Roman" w:cs="Times New Roman"/>
                <w:bCs/>
                <w:sz w:val="20"/>
                <w:szCs w:val="20"/>
              </w:rPr>
            </w:pPr>
            <w:r w:rsidRPr="00AA2662">
              <w:rPr>
                <w:rFonts w:ascii="Times New Roman" w:eastAsia="Open Sans Light" w:hAnsi="Times New Roman" w:cs="Times New Roman"/>
                <w:bCs/>
                <w:sz w:val="20"/>
                <w:szCs w:val="20"/>
              </w:rPr>
              <w:t>Zakwestionowano prawidłowość regulacji przyjętej w proponowanym brzmieniu art. 19aa ust. 2 projektu wskazując na obowiązek wzywania wnioskodawcy przez sąd rejestrowy do usunięcia braku pisma procesowego tj. przez dołączenie przez wnioskodawcę wyciągu z tego pisma procesowego lub dokumentu z pominięciem danych osobowych lub innych danych, których prawo przeglądania jest ograniczone na podstawie przepisu szczególnego albo dane te nie zostały w dołączonym wyciągu pominięte. Zaakcentowano, że takie wezwanie pod rygorem zwrotu pisma w istocie skutkować może w przypadku braku wykonania obowiązku w zakreślonym terminie zwrotem w danej sprawie dokumentów stanowiących zdarzenie rejestrowe i skutkujących zmianą wpisu w rejestrze, a tym samym nakładać na sąd rejestrowy obowiązek rozpoznania złożonego wniosku przez sąd rejestrowy bez wskazanego dokumentu. Należałoby przyjąć, iż w razie niewykonania wezwania przez wnioskodawcę skutkiem będzie nie proponowany rygor zwrotu tegoż pisma, lecz przyjęcie odpowiedzialności przez samego wnioskodawcę za złożenie pisma zawierającego dane osobowe lub inne dane, których prawo przeglądania jest ograniczone na podstawie przepisu szczególnego.</w:t>
            </w:r>
          </w:p>
        </w:tc>
        <w:tc>
          <w:tcPr>
            <w:tcW w:w="4076" w:type="dxa"/>
          </w:tcPr>
          <w:p w14:paraId="4955CCDD" w14:textId="77777777" w:rsidR="00AA2662" w:rsidRDefault="00AA2662"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426FD8DD" w14:textId="3B578173" w:rsidR="00AA2662" w:rsidRPr="00AA2662" w:rsidRDefault="00AA2662" w:rsidP="001E5FE3">
            <w:pPr>
              <w:autoSpaceDE w:val="0"/>
              <w:autoSpaceDN w:val="0"/>
              <w:adjustRightInd w:val="0"/>
              <w:jc w:val="both"/>
              <w:rPr>
                <w:rFonts w:ascii="Times New Roman" w:eastAsia="Times New Roman" w:hAnsi="Times New Roman" w:cs="Times New Roman"/>
                <w:bCs/>
                <w:sz w:val="20"/>
                <w:szCs w:val="20"/>
                <w:lang w:eastAsia="pl-PL"/>
              </w:rPr>
            </w:pPr>
            <w:r w:rsidRPr="00AA2662">
              <w:rPr>
                <w:rFonts w:ascii="Times New Roman" w:eastAsia="Times New Roman" w:hAnsi="Times New Roman" w:cs="Times New Roman"/>
                <w:bCs/>
                <w:sz w:val="20"/>
                <w:szCs w:val="20"/>
                <w:lang w:eastAsia="pl-PL"/>
              </w:rPr>
              <w:t xml:space="preserve">Należy wskazać, że projektowany przepis nie narusza obowiązujących przepisów dotyczących zwrotu wniosku w przypadku nieusunięcia jego braków formalnych. Niezasadnym jest przyjęcie, że </w:t>
            </w:r>
            <w:r w:rsidR="002C39F2">
              <w:rPr>
                <w:rFonts w:ascii="Times New Roman" w:eastAsia="Times New Roman" w:hAnsi="Times New Roman" w:cs="Times New Roman"/>
                <w:bCs/>
                <w:sz w:val="20"/>
                <w:szCs w:val="20"/>
                <w:lang w:eastAsia="pl-PL"/>
              </w:rPr>
              <w:t>„</w:t>
            </w:r>
            <w:r w:rsidRPr="00AA2662">
              <w:rPr>
                <w:rFonts w:ascii="Times New Roman" w:eastAsia="Times New Roman" w:hAnsi="Times New Roman" w:cs="Times New Roman"/>
                <w:bCs/>
                <w:sz w:val="20"/>
                <w:szCs w:val="20"/>
                <w:lang w:eastAsia="pl-PL"/>
              </w:rPr>
              <w:t>w razie niewykonania wezwania przez wnioskodawcę skutkiem będzie nie proponowany rygor zwrotu tegoż pisma, lecz przyjęcie odpowiedzialności przez samego wnioskodawcę za złożenie pisma zawierającego dane osobowe lub inne dane, których prawo przeglądania jest ograniczone na podstawie przepisu szczególnego</w:t>
            </w:r>
            <w:r w:rsidR="002C39F2">
              <w:rPr>
                <w:rFonts w:ascii="Times New Roman" w:eastAsia="Times New Roman" w:hAnsi="Times New Roman" w:cs="Times New Roman"/>
                <w:bCs/>
                <w:sz w:val="20"/>
                <w:szCs w:val="20"/>
                <w:lang w:eastAsia="pl-PL"/>
              </w:rPr>
              <w:t>”</w:t>
            </w:r>
            <w:r w:rsidRPr="00AA2662">
              <w:rPr>
                <w:rFonts w:ascii="Times New Roman" w:eastAsia="Times New Roman" w:hAnsi="Times New Roman" w:cs="Times New Roman"/>
                <w:bCs/>
                <w:sz w:val="20"/>
                <w:szCs w:val="20"/>
                <w:lang w:eastAsia="pl-PL"/>
              </w:rPr>
              <w:t xml:space="preserve">. Zgodnie bowiem z art.  175db ustawy - Prawo o ustroju sądów powszechnych administratorami danych osobowych przetwarzanych w postępowaniach sądowych w ramach sprawowania wymiaru sprawiedliwości albo realizacji zadań z zakresu ochrony prawnej są sądy. Ponadto zgodnie z art. 198 ust. 5 Regulaminu urzędowania sadów powszechnych na sądach ciąży obowiązek oceny złożonych dokumentów przed ich </w:t>
            </w:r>
            <w:r w:rsidRPr="00AA2662">
              <w:rPr>
                <w:rFonts w:ascii="Times New Roman" w:eastAsia="Times New Roman" w:hAnsi="Times New Roman" w:cs="Times New Roman"/>
                <w:bCs/>
                <w:sz w:val="20"/>
                <w:szCs w:val="20"/>
                <w:lang w:eastAsia="pl-PL"/>
              </w:rPr>
              <w:lastRenderedPageBreak/>
              <w:t xml:space="preserve">udostępnieniem w celu ochrony danych osobowych.        </w:t>
            </w:r>
          </w:p>
        </w:tc>
      </w:tr>
      <w:tr w:rsidR="00C44E4F" w:rsidRPr="005134B0" w14:paraId="422E94AF" w14:textId="77777777" w:rsidTr="00B241C8">
        <w:trPr>
          <w:jc w:val="center"/>
        </w:trPr>
        <w:tc>
          <w:tcPr>
            <w:tcW w:w="562" w:type="dxa"/>
          </w:tcPr>
          <w:p w14:paraId="1411BAFE" w14:textId="6ECC9EB9" w:rsidR="00C44E4F"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15.</w:t>
            </w:r>
          </w:p>
        </w:tc>
        <w:tc>
          <w:tcPr>
            <w:tcW w:w="1843" w:type="dxa"/>
            <w:vAlign w:val="center"/>
          </w:tcPr>
          <w:p w14:paraId="073F590D" w14:textId="5AD602DB" w:rsidR="00C44E4F" w:rsidRPr="001E5FE3" w:rsidRDefault="00C44E4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UKNF</w:t>
            </w:r>
          </w:p>
        </w:tc>
        <w:tc>
          <w:tcPr>
            <w:tcW w:w="1843" w:type="dxa"/>
            <w:vAlign w:val="center"/>
          </w:tcPr>
          <w:p w14:paraId="2447F2BC" w14:textId="22DE4549" w:rsidR="00C44E4F" w:rsidRPr="001E5FE3" w:rsidRDefault="00C44E4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Art. 1 pkt 6 (</w:t>
            </w:r>
            <w:r w:rsidRPr="00C44E4F">
              <w:rPr>
                <w:rFonts w:ascii="Times New Roman" w:hAnsi="Times New Roman" w:cs="Times New Roman"/>
                <w:bCs/>
                <w:sz w:val="20"/>
                <w:szCs w:val="20"/>
              </w:rPr>
              <w:t xml:space="preserve">dodanie art. 19ab w </w:t>
            </w:r>
            <w:r>
              <w:rPr>
                <w:rFonts w:ascii="Times New Roman" w:hAnsi="Times New Roman" w:cs="Times New Roman"/>
                <w:bCs/>
                <w:sz w:val="20"/>
                <w:szCs w:val="20"/>
              </w:rPr>
              <w:t xml:space="preserve">ustawie o </w:t>
            </w:r>
            <w:r w:rsidRPr="00C44E4F">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7FE5271A" w14:textId="71F51E76" w:rsidR="00445C04" w:rsidRPr="00445C04" w:rsidRDefault="00445C04" w:rsidP="00445C04">
            <w:pPr>
              <w:jc w:val="both"/>
              <w:rPr>
                <w:rFonts w:ascii="Times New Roman" w:eastAsia="Open Sans Light" w:hAnsi="Times New Roman" w:cs="Times New Roman"/>
                <w:bCs/>
                <w:sz w:val="20"/>
                <w:szCs w:val="20"/>
              </w:rPr>
            </w:pPr>
            <w:r w:rsidRPr="00445C04">
              <w:rPr>
                <w:rFonts w:ascii="Times New Roman" w:eastAsia="Open Sans Light" w:hAnsi="Times New Roman" w:cs="Times New Roman"/>
                <w:bCs/>
                <w:sz w:val="20"/>
                <w:szCs w:val="20"/>
              </w:rPr>
              <w:t>W ocenie UKNF należy poddać ponownej analizie art. 19ab ustawy z dnia 20 sierpnia 1997 r. o Krajowym Rejestrze Sądowym (Dz. U. z 2025 r. poz. 869), dodawany w art. 1</w:t>
            </w:r>
            <w:r>
              <w:rPr>
                <w:rFonts w:ascii="Times New Roman" w:eastAsia="Open Sans Light" w:hAnsi="Times New Roman" w:cs="Times New Roman"/>
                <w:bCs/>
                <w:sz w:val="20"/>
                <w:szCs w:val="20"/>
              </w:rPr>
              <w:t xml:space="preserve"> </w:t>
            </w:r>
            <w:r w:rsidRPr="00445C04">
              <w:rPr>
                <w:rFonts w:ascii="Times New Roman" w:eastAsia="Open Sans Light" w:hAnsi="Times New Roman" w:cs="Times New Roman"/>
                <w:bCs/>
                <w:sz w:val="20"/>
                <w:szCs w:val="20"/>
              </w:rPr>
              <w:t>pkt 6 projektu, pod kątem wpływu proponowanego rozwiązania na proces zakładania spółek na terenie Polski. Powszechną praktyką jest bowiem wykorzystywanie na potrzeby rejestracji spółki w Krajowym Rejestrze Sądowym tzw. adresów biur wirtualnych, w ramach której zdarza się, że nie jest zawierana konkretna umowa, np. umowa najmu umożliwiająca korzystanie z nieruchomości. Wejście w życie przedstawionego w projekcie rozwiązania może zatem skutkować ograniczeniem działalności tzw. dostawców adresów biur wirtualnych, z których usług korzystają niektórzy przedsiębiorcy (m. in. spółki zależne działające na terenie Polski, w których udziały posiadają przedsiębiorcy zagraniczni) i w konsekwencji wzbudzać wątpliwości z perspektywy poszanowania zasady proporcjonalności.</w:t>
            </w:r>
          </w:p>
          <w:p w14:paraId="7737D3CF" w14:textId="151A0915" w:rsidR="00C44E4F" w:rsidRPr="001E5FE3" w:rsidRDefault="00445C04" w:rsidP="00445C04">
            <w:pPr>
              <w:jc w:val="both"/>
              <w:rPr>
                <w:rFonts w:ascii="Times New Roman" w:eastAsia="Open Sans Light" w:hAnsi="Times New Roman" w:cs="Times New Roman"/>
                <w:bCs/>
                <w:sz w:val="20"/>
                <w:szCs w:val="20"/>
              </w:rPr>
            </w:pPr>
            <w:r w:rsidRPr="00445C04">
              <w:rPr>
                <w:rFonts w:ascii="Times New Roman" w:eastAsia="Open Sans Light" w:hAnsi="Times New Roman" w:cs="Times New Roman"/>
                <w:bCs/>
                <w:sz w:val="20"/>
                <w:szCs w:val="20"/>
              </w:rPr>
              <w:t>Mając na uwadze powyższe, zdaniem UKNF rozważenia wymaga doprecyzowanie w projekcie, czy umowa podmiotu z biurem wirtualnym będzie rozumiana jako posiadanie tytułu prawnego do korzystania z lokalu.</w:t>
            </w:r>
          </w:p>
        </w:tc>
        <w:tc>
          <w:tcPr>
            <w:tcW w:w="4076" w:type="dxa"/>
          </w:tcPr>
          <w:p w14:paraId="1B0F2399" w14:textId="77777777" w:rsidR="00C44E4F" w:rsidRDefault="00445C04"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33C5B146" w14:textId="1E34EFDF" w:rsidR="00445C04" w:rsidRPr="00445C04" w:rsidRDefault="00445C04" w:rsidP="001E5FE3">
            <w:pPr>
              <w:autoSpaceDE w:val="0"/>
              <w:autoSpaceDN w:val="0"/>
              <w:adjustRightInd w:val="0"/>
              <w:jc w:val="both"/>
              <w:rPr>
                <w:rFonts w:ascii="Times New Roman" w:eastAsia="Times New Roman" w:hAnsi="Times New Roman" w:cs="Times New Roman"/>
                <w:bCs/>
                <w:sz w:val="20"/>
                <w:szCs w:val="20"/>
                <w:lang w:eastAsia="pl-PL"/>
              </w:rPr>
            </w:pPr>
            <w:r w:rsidRPr="00445C04">
              <w:rPr>
                <w:rFonts w:ascii="Times New Roman" w:eastAsia="Times New Roman" w:hAnsi="Times New Roman" w:cs="Times New Roman"/>
                <w:bCs/>
                <w:sz w:val="20"/>
                <w:szCs w:val="20"/>
                <w:lang w:eastAsia="pl-PL"/>
              </w:rPr>
              <w:t>Zdaniem</w:t>
            </w:r>
            <w:r>
              <w:rPr>
                <w:rFonts w:ascii="Times New Roman" w:eastAsia="Times New Roman" w:hAnsi="Times New Roman" w:cs="Times New Roman"/>
                <w:bCs/>
                <w:sz w:val="20"/>
                <w:szCs w:val="20"/>
                <w:lang w:eastAsia="pl-PL"/>
              </w:rPr>
              <w:t xml:space="preserve"> projektodawcy </w:t>
            </w:r>
            <w:r w:rsidRPr="00445C04">
              <w:rPr>
                <w:rFonts w:ascii="Times New Roman" w:eastAsia="Times New Roman" w:hAnsi="Times New Roman" w:cs="Times New Roman"/>
                <w:bCs/>
                <w:sz w:val="20"/>
                <w:szCs w:val="20"/>
                <w:lang w:eastAsia="pl-PL"/>
              </w:rPr>
              <w:t>umowa z biurem wirtualnym może być tytułem prawnym do lokalu. W wyroku NSA z dnia 5 sierpnia 2014 roku  (sygn. akt II FSK 3549/13) NSA uznał, że adres wskazany przez przedsiębiorcę, będący adresem wirtualnego biura  w żadnym razie nie był adresem fikcyjnym, ponieważ przedsiębiorca posiadał udokumentowane prawo do lokalu w postaci umowy najmu wirtualnego biura.</w:t>
            </w:r>
          </w:p>
        </w:tc>
      </w:tr>
      <w:tr w:rsidR="00830B9E" w:rsidRPr="005134B0" w14:paraId="07481D20" w14:textId="77777777" w:rsidTr="00B241C8">
        <w:trPr>
          <w:jc w:val="center"/>
        </w:trPr>
        <w:tc>
          <w:tcPr>
            <w:tcW w:w="562" w:type="dxa"/>
          </w:tcPr>
          <w:p w14:paraId="711357B9" w14:textId="4CCD512E" w:rsidR="00830B9E"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16.</w:t>
            </w:r>
          </w:p>
        </w:tc>
        <w:tc>
          <w:tcPr>
            <w:tcW w:w="1843" w:type="dxa"/>
            <w:vAlign w:val="center"/>
          </w:tcPr>
          <w:p w14:paraId="0E19578F" w14:textId="2B979842" w:rsidR="00830B9E" w:rsidRPr="001E5FE3" w:rsidRDefault="00830B9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7D40CC75" w14:textId="311D74FE" w:rsidR="00830B9E" w:rsidRPr="001E5FE3" w:rsidRDefault="00830B9E" w:rsidP="00F43ABB">
            <w:pPr>
              <w:spacing w:before="120" w:after="120"/>
              <w:jc w:val="both"/>
              <w:rPr>
                <w:rFonts w:ascii="Times New Roman" w:hAnsi="Times New Roman" w:cs="Times New Roman"/>
                <w:bCs/>
                <w:sz w:val="20"/>
                <w:szCs w:val="20"/>
              </w:rPr>
            </w:pPr>
            <w:r w:rsidRPr="00830B9E">
              <w:rPr>
                <w:rFonts w:ascii="Times New Roman" w:hAnsi="Times New Roman" w:cs="Times New Roman"/>
                <w:bCs/>
                <w:sz w:val="20"/>
                <w:szCs w:val="20"/>
              </w:rPr>
              <w:t>Art. 1 pkt 13 lit. a (art. 24 ust. 1a ustawy o KRS)</w:t>
            </w:r>
          </w:p>
        </w:tc>
        <w:tc>
          <w:tcPr>
            <w:tcW w:w="5670" w:type="dxa"/>
            <w:vAlign w:val="center"/>
          </w:tcPr>
          <w:p w14:paraId="39F09798" w14:textId="578EDC2F" w:rsidR="00830B9E" w:rsidRPr="001E5FE3" w:rsidRDefault="00830B9E" w:rsidP="00ED4ED5">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 xml:space="preserve">Odnośnie proponowanej regulacji dotyczącej art. 24 ust. 1a wskazano, iż przyjęcie rozwiązania wprowadzającego obowiązek każdorazowego wszczynania postępowania przymuszającego w sytuacji braku organu uprawnionego do reprezentowania podmiotu wpisanego do Krajowego Rejestru Sądowego albo stwierdzonych braków w składzie organu uprawnionego do reprezentowania uniemożliwiających jego działanie, oznaczałoby logiczną niekonsekwencję w proponowanych rozwiązaniach, gdzie ogranicza się prowadzenie postępowań przymuszających jako mało skutecznych i kosztownych, kładąc jednocześnie nacisk na wszczynanie postępowań o rozwiązanie podmiotu bez przeprowadzania likwidacji i o jego wykreślenie z rejestru. Zamiana dotychczasowego sformułowania użytego w art. 24 ust. 1a ustawy o KRS w „uzasadnionych przypadkach (...) sąd może wezwać obowiązanych” na sformułowanie „w razie stwierdzenia, że osoba prawna nie posiada organu uprawnionego do reprezentowania albo </w:t>
            </w:r>
            <w:r w:rsidRPr="00830B9E">
              <w:rPr>
                <w:rFonts w:ascii="Times New Roman" w:eastAsia="Open Sans Light" w:hAnsi="Times New Roman" w:cs="Times New Roman"/>
                <w:bCs/>
                <w:sz w:val="20"/>
                <w:szCs w:val="20"/>
              </w:rPr>
              <w:lastRenderedPageBreak/>
              <w:t>w składzie tego organu zachodzą braki uniemożliwiające jej działanie, sąd rejestrowy wzywa obowiązanych do powołania albo wyboru tego organu” oznaczałoby, że zamiast eliminować martwe podmioty z Rejestru, z których znaczna część nie posiada organu uprawnionego do reprezentacji lub zachodzą w tym organie w/w braki, sądy rejestrowe w istocie obligowane są do prowadzenia długotrwałych postępowań mających na celu przymusowe ich „uzdrowienie” i przywrócenie do działania w obrocie gospodarczym. Dodatkowo zaakcentowano, że dla niektórych form prawnych podmiotów wpisanych do Krajowego Rejestru Sądowego istnieją szczególne regulacje ustawowe, które przewidują, że brak organu uprawnionego do reprezentacji lub braki w jego składzie stanowią np. podstawę do wystąpienia z wnioskiem o rozwiązanie podmiotu (przykładowo art. 31 ust. 1 pkt 2 Ustawy Prawo o stowarzyszeniach z dnia 7.04.1989 r.).</w:t>
            </w:r>
          </w:p>
        </w:tc>
        <w:tc>
          <w:tcPr>
            <w:tcW w:w="4076" w:type="dxa"/>
          </w:tcPr>
          <w:p w14:paraId="5AA47473" w14:textId="77777777" w:rsidR="00830B9E" w:rsidRPr="00830B9E" w:rsidRDefault="00830B9E" w:rsidP="00830B9E">
            <w:pPr>
              <w:autoSpaceDE w:val="0"/>
              <w:autoSpaceDN w:val="0"/>
              <w:adjustRightInd w:val="0"/>
              <w:jc w:val="both"/>
              <w:rPr>
                <w:rFonts w:ascii="Times New Roman" w:eastAsia="Times New Roman" w:hAnsi="Times New Roman" w:cs="Times New Roman"/>
                <w:b/>
                <w:sz w:val="20"/>
                <w:szCs w:val="20"/>
                <w:lang w:eastAsia="pl-PL"/>
              </w:rPr>
            </w:pPr>
            <w:r w:rsidRPr="00830B9E">
              <w:rPr>
                <w:rFonts w:ascii="Times New Roman" w:eastAsia="Times New Roman" w:hAnsi="Times New Roman" w:cs="Times New Roman"/>
                <w:b/>
                <w:sz w:val="20"/>
                <w:szCs w:val="20"/>
                <w:lang w:eastAsia="pl-PL"/>
              </w:rPr>
              <w:lastRenderedPageBreak/>
              <w:t>Uwaga nieuwzględniona</w:t>
            </w:r>
          </w:p>
          <w:p w14:paraId="721442E8" w14:textId="77777777" w:rsidR="00830B9E" w:rsidRPr="00830B9E" w:rsidRDefault="00830B9E" w:rsidP="00830B9E">
            <w:pPr>
              <w:autoSpaceDE w:val="0"/>
              <w:autoSpaceDN w:val="0"/>
              <w:adjustRightInd w:val="0"/>
              <w:jc w:val="both"/>
              <w:rPr>
                <w:rFonts w:ascii="Times New Roman" w:eastAsia="Times New Roman" w:hAnsi="Times New Roman" w:cs="Times New Roman"/>
                <w:bCs/>
                <w:sz w:val="20"/>
                <w:szCs w:val="20"/>
                <w:lang w:eastAsia="pl-PL"/>
              </w:rPr>
            </w:pPr>
            <w:r w:rsidRPr="00830B9E">
              <w:rPr>
                <w:rFonts w:ascii="Times New Roman" w:eastAsia="Times New Roman" w:hAnsi="Times New Roman" w:cs="Times New Roman"/>
                <w:bCs/>
                <w:sz w:val="20"/>
                <w:szCs w:val="20"/>
                <w:lang w:eastAsia="pl-PL"/>
              </w:rPr>
              <w:t xml:space="preserve">Obecne brzmienie przepisu art. 24 ust. 3 dopuszcza odstąpienie od wszczęcia postępowania przymuszającego w sytuacji gdy w wyniku podjęcia czynności wyjaśniających stwierdzono, że postępowanie przymuszające nie doprowadzi wykazania okoliczności, o których mowa w ust. 1a pkt 1 albo do wykonania czynności, o których mowa w ust. 1a pkt 2. Oznacza to, że obecnie - w nieokreślonym bliżej postępowaniu z urzędu sąd rejestrowy  bada czy z danych zawartych w aktach rejestrowych wynika, że nie doprowadzi ono do złożenia wniosku o wpis do Rejestru lub dokumentów, których złożenie jest obowiązkowe - czyli de facto -  przeprowadza czynności wyjaśniające. </w:t>
            </w:r>
            <w:r w:rsidRPr="00830B9E">
              <w:rPr>
                <w:rFonts w:ascii="Times New Roman" w:eastAsia="Times New Roman" w:hAnsi="Times New Roman" w:cs="Times New Roman"/>
                <w:bCs/>
                <w:sz w:val="20"/>
                <w:szCs w:val="20"/>
                <w:lang w:eastAsia="pl-PL"/>
              </w:rPr>
              <w:lastRenderedPageBreak/>
              <w:t>W przypadku uznania, że postępowanie przymuszające nie doprowadzi do pożądanego skutku, znów - w tym bliżej nie sprecyzowanym postępowaniu prowadzonym z urzędu - wydaje postanowienie o odstąpieniu od wszczęcia postępowania przymuszającego.</w:t>
            </w:r>
          </w:p>
          <w:p w14:paraId="5DF47C0E" w14:textId="0E57A40A" w:rsidR="00830B9E" w:rsidRPr="001E5FE3" w:rsidRDefault="00830B9E" w:rsidP="00830B9E">
            <w:pPr>
              <w:autoSpaceDE w:val="0"/>
              <w:autoSpaceDN w:val="0"/>
              <w:adjustRightInd w:val="0"/>
              <w:jc w:val="both"/>
              <w:rPr>
                <w:rFonts w:ascii="Times New Roman" w:eastAsia="Times New Roman" w:hAnsi="Times New Roman" w:cs="Times New Roman"/>
                <w:b/>
                <w:sz w:val="20"/>
                <w:szCs w:val="20"/>
                <w:lang w:eastAsia="pl-PL"/>
              </w:rPr>
            </w:pPr>
            <w:r w:rsidRPr="00830B9E">
              <w:rPr>
                <w:rFonts w:ascii="Times New Roman" w:eastAsia="Times New Roman" w:hAnsi="Times New Roman" w:cs="Times New Roman"/>
                <w:bCs/>
                <w:sz w:val="20"/>
                <w:szCs w:val="20"/>
                <w:lang w:eastAsia="pl-PL"/>
              </w:rPr>
              <w:t>W projektowanym przepisie wszystkie ww. czynności prowadzone są w ramach postępowania przymuszającego i możliwe jest odstąpienie od postępowania przymuszającego (a nie jego wszczęcia) w przypadkach określonych w ustawie.</w:t>
            </w:r>
            <w:r w:rsidRPr="00830B9E">
              <w:rPr>
                <w:rFonts w:ascii="Times New Roman" w:eastAsia="Times New Roman" w:hAnsi="Times New Roman" w:cs="Times New Roman"/>
                <w:b/>
                <w:sz w:val="20"/>
                <w:szCs w:val="20"/>
                <w:lang w:eastAsia="pl-PL"/>
              </w:rPr>
              <w:t xml:space="preserve">  </w:t>
            </w:r>
          </w:p>
        </w:tc>
      </w:tr>
      <w:tr w:rsidR="00830B9E" w:rsidRPr="005134B0" w14:paraId="47C74568" w14:textId="77777777" w:rsidTr="00B241C8">
        <w:trPr>
          <w:jc w:val="center"/>
        </w:trPr>
        <w:tc>
          <w:tcPr>
            <w:tcW w:w="562" w:type="dxa"/>
          </w:tcPr>
          <w:p w14:paraId="6FC6FBA2" w14:textId="574D1452" w:rsidR="00830B9E"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17.</w:t>
            </w:r>
          </w:p>
        </w:tc>
        <w:tc>
          <w:tcPr>
            <w:tcW w:w="1843" w:type="dxa"/>
            <w:vAlign w:val="center"/>
          </w:tcPr>
          <w:p w14:paraId="3FB071DC" w14:textId="1E966254" w:rsidR="00830B9E" w:rsidRPr="001E5FE3" w:rsidRDefault="00830B9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6F0CD013" w14:textId="13750A87" w:rsidR="00830B9E" w:rsidRPr="001E5FE3" w:rsidRDefault="00830B9E" w:rsidP="00F43ABB">
            <w:pPr>
              <w:spacing w:before="120" w:after="120"/>
              <w:jc w:val="both"/>
              <w:rPr>
                <w:rFonts w:ascii="Times New Roman" w:hAnsi="Times New Roman" w:cs="Times New Roman"/>
                <w:bCs/>
                <w:sz w:val="20"/>
                <w:szCs w:val="20"/>
              </w:rPr>
            </w:pPr>
            <w:r w:rsidRPr="00830B9E">
              <w:rPr>
                <w:rFonts w:ascii="Times New Roman" w:hAnsi="Times New Roman" w:cs="Times New Roman"/>
                <w:bCs/>
                <w:sz w:val="20"/>
                <w:szCs w:val="20"/>
              </w:rPr>
              <w:t>Art. 1 pkt 13 lit. a (art. 24 ust. 1a ustawy o KRS)</w:t>
            </w:r>
          </w:p>
        </w:tc>
        <w:tc>
          <w:tcPr>
            <w:tcW w:w="5670" w:type="dxa"/>
            <w:vAlign w:val="center"/>
          </w:tcPr>
          <w:p w14:paraId="38B4D956" w14:textId="77777777" w:rsidR="00830B9E" w:rsidRPr="00830B9E" w:rsidRDefault="00830B9E" w:rsidP="00830B9E">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 xml:space="preserve">Odnośnie proponowanej regulacji dotyczącej art. 24 ust. 1a wskazujemy, iż przyjęcie rozwiązania wprowadzającego obowiązek każdorazowego wszczynania postępowania przymuszającego w sytuacji braku organu uprawnionego do reprezentowania podmiotu wpisanego do Krajowego Rejestru Sądowego albo stwierdzonych braków w składzie organu uprawnionego do reprezentowania uniemożliwiających jego działanie, oznaczałoby logiczną niekonsekwencję w proponowanych rozwiązaniach, gdzie ogranicza się prowadzenie postępowań przymuszających jako mało skutecznych i kosztownych, kładąc jednocześnie nacisk na wszczynanie postępowań o rozwiązanie podmiotu bez przeprowadzania likwidacji i o jego wykreślenie z rejestru. Zamiana dotychczasowego sformułowania użytego w art. 24 ust. 1a ustawy o KRS w „uzasadnionych przypadkach (…) sąd może wezwać obowiązanych” na sformułowanie „w razie stwierdzenia, że osoba prawna nie posiada organu uprawnionego do reprezentowania albo w składzie tego organu zachodzą braki uniemożliwiające jej działanie, sąd rejestrowy wzywa obowiązanych do powołania albo wyboru tego organu” oznaczałoby, że zamiast eliminować martwe podmioty z Rejestru, z których znaczna część nie posiada organu uprawnionego do reprezentacji lub zachodzą w tym organie w/w braki, sądy rejestrowe w istocie obligowane są do prowadzenia </w:t>
            </w:r>
            <w:r w:rsidRPr="00830B9E">
              <w:rPr>
                <w:rFonts w:ascii="Times New Roman" w:eastAsia="Open Sans Light" w:hAnsi="Times New Roman" w:cs="Times New Roman"/>
                <w:bCs/>
                <w:sz w:val="20"/>
                <w:szCs w:val="20"/>
              </w:rPr>
              <w:lastRenderedPageBreak/>
              <w:t>długotrwałych postępowań mających na celu przymusowe ich „uzdrowienie” i przywrócenie do działania w obrocie gospodarczym.</w:t>
            </w:r>
          </w:p>
          <w:p w14:paraId="0D029D53" w14:textId="77777777" w:rsidR="00830B9E" w:rsidRPr="00830B9E" w:rsidRDefault="00830B9E" w:rsidP="00830B9E">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Dodatkowo należy wskazać, iż dla niektórych form prawnych podmiotów wpisanych do Krajowego Rejestru Sądowego istnieją szczególne regulacje ustawowe, które przewidują, iż brak organu uprawnionego do reprezentacji lub braki w jego składzie stanowią np. podstawę do wystąpienia z wnioskiem o rozwiązanie podmiotu (przykładowo art. 31 ust. 1 pkt 2 Ustawy Prawo o stowarzyszeniach z dnia 7.04.1989 r.).</w:t>
            </w:r>
          </w:p>
          <w:p w14:paraId="385A2DE7" w14:textId="77777777" w:rsidR="00830B9E" w:rsidRPr="00830B9E" w:rsidRDefault="00830B9E" w:rsidP="00830B9E">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W dotychczasowym kształcie przepisów art. 24 ust. 1a KRSU ustawodawca chciał wyeliminować konieczność wszczynania przez sąd rejestrowy postępowania przymuszającego na podstawie art. 24 ust. 1a KRSU w przypadkach, gdy sądowi temu nie będą znane osoby, które w danym podmiocie rejestrowym są zobowiązane do wyboru lub powołania organu uprawnionego do reprezentowania podmiotu. Chodziło zatem o uniknięcie wszczynania postępowań, które zmuszałyby sąd do ustalania i poszukiwania kręgu osób uprawnionych/zobowiązanych do wyboru zarządu. Po pierwsze sąd rejestrowy nie posiada stosownych narzędzi do poczynienia takich ustaleń, po drugie efektywność takich czasochłonnych działań sądu przy jednoczesnym znacznym nakładzie kosztów prawdopodobnie byłaby niewielka. Ustawodawca przyjął zatem, że postępowania przymuszające na podstawie art. 24 ust. 1a KRSU sąd rejestrowy będzie wszczynał wtedy, gdy będzie znał krąg osób obowiązanych (vide: Ł. Zamojski [w:] Krajowy Rejestr Sądowy. Komentarz, wyd. II, LEX/el. 2023, art. 24; A. Komenda, w: A. Komenda (red.), Krajowy Rejestr Sądowy i postępowanie rejestrowe, Warszawa 2021 r., s. 573–574).</w:t>
            </w:r>
          </w:p>
          <w:p w14:paraId="769FCBF5" w14:textId="77777777" w:rsidR="00830B9E" w:rsidRPr="00830B9E" w:rsidRDefault="00830B9E" w:rsidP="00830B9E">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Ponadto w wielu przypadkach krąg osób uprawnionych do powołania zarządu jest bardzo liczny (np. w spółdzielniach, spółkach akcyjnych, czy choćby w spółkach z o.o.). Trudno wyobrazić sobie wzywanie każdorazowo kilkuset członków spółdzielni lub akcjonariuszy spółki akcyjnej albo spółki z o.o. do powołania zarządu tych osób prawnych.</w:t>
            </w:r>
          </w:p>
          <w:p w14:paraId="599749DC" w14:textId="6B607C6C" w:rsidR="00830B9E" w:rsidRPr="001E5FE3" w:rsidRDefault="00830B9E" w:rsidP="00830B9E">
            <w:pPr>
              <w:jc w:val="both"/>
              <w:rPr>
                <w:rFonts w:ascii="Times New Roman" w:eastAsia="Open Sans Light" w:hAnsi="Times New Roman" w:cs="Times New Roman"/>
                <w:bCs/>
                <w:sz w:val="20"/>
                <w:szCs w:val="20"/>
              </w:rPr>
            </w:pPr>
            <w:r w:rsidRPr="00830B9E">
              <w:rPr>
                <w:rFonts w:ascii="Times New Roman" w:eastAsia="Open Sans Light" w:hAnsi="Times New Roman" w:cs="Times New Roman"/>
                <w:bCs/>
                <w:sz w:val="20"/>
                <w:szCs w:val="20"/>
              </w:rPr>
              <w:t xml:space="preserve">Jednocześnie należy zaznaczyć, że nierzadko zdarza się, że w razie wszczęcia postępowania przymuszającego na podstawie art. 24 ust. </w:t>
            </w:r>
            <w:r w:rsidRPr="00830B9E">
              <w:rPr>
                <w:rFonts w:ascii="Times New Roman" w:eastAsia="Open Sans Light" w:hAnsi="Times New Roman" w:cs="Times New Roman"/>
                <w:bCs/>
                <w:sz w:val="20"/>
                <w:szCs w:val="20"/>
              </w:rPr>
              <w:lastRenderedPageBreak/>
              <w:t>1a osoby obowiązane powołują wprawdzie nowe władze (np. zarząd), ale tuż po umorzeniu postępowania przymuszającego, członkowie zarządu ponownie składają rezygnacje. W ten sposób niweczone są efekty żmudnego, kosztownego i czasochłonnego postępowania przymuszającego.</w:t>
            </w:r>
          </w:p>
        </w:tc>
        <w:tc>
          <w:tcPr>
            <w:tcW w:w="4076" w:type="dxa"/>
          </w:tcPr>
          <w:p w14:paraId="488FF79B" w14:textId="77777777" w:rsidR="00830B9E" w:rsidRPr="00830B9E" w:rsidRDefault="00830B9E" w:rsidP="00830B9E">
            <w:pPr>
              <w:autoSpaceDE w:val="0"/>
              <w:autoSpaceDN w:val="0"/>
              <w:adjustRightInd w:val="0"/>
              <w:jc w:val="both"/>
              <w:rPr>
                <w:rFonts w:ascii="Times New Roman" w:eastAsia="Times New Roman" w:hAnsi="Times New Roman" w:cs="Times New Roman"/>
                <w:b/>
                <w:sz w:val="20"/>
                <w:szCs w:val="20"/>
                <w:lang w:eastAsia="pl-PL"/>
              </w:rPr>
            </w:pPr>
            <w:r w:rsidRPr="00830B9E">
              <w:rPr>
                <w:rFonts w:ascii="Times New Roman" w:eastAsia="Times New Roman" w:hAnsi="Times New Roman" w:cs="Times New Roman"/>
                <w:b/>
                <w:sz w:val="20"/>
                <w:szCs w:val="20"/>
                <w:lang w:eastAsia="pl-PL"/>
              </w:rPr>
              <w:lastRenderedPageBreak/>
              <w:t>Uwaga nieuwzględniona</w:t>
            </w:r>
          </w:p>
          <w:p w14:paraId="561ADAC3" w14:textId="77777777" w:rsidR="00830B9E" w:rsidRPr="00830B9E" w:rsidRDefault="00830B9E" w:rsidP="00830B9E">
            <w:pPr>
              <w:autoSpaceDE w:val="0"/>
              <w:autoSpaceDN w:val="0"/>
              <w:adjustRightInd w:val="0"/>
              <w:jc w:val="both"/>
              <w:rPr>
                <w:rFonts w:ascii="Times New Roman" w:eastAsia="Times New Roman" w:hAnsi="Times New Roman" w:cs="Times New Roman"/>
                <w:bCs/>
                <w:sz w:val="20"/>
                <w:szCs w:val="20"/>
                <w:lang w:eastAsia="pl-PL"/>
              </w:rPr>
            </w:pPr>
            <w:r w:rsidRPr="00830B9E">
              <w:rPr>
                <w:rFonts w:ascii="Times New Roman" w:eastAsia="Times New Roman" w:hAnsi="Times New Roman" w:cs="Times New Roman"/>
                <w:bCs/>
                <w:sz w:val="20"/>
                <w:szCs w:val="20"/>
                <w:lang w:eastAsia="pl-PL"/>
              </w:rPr>
              <w:t>Obecne brzmienie przepisu art. 24 ust. 3 dopuszcza odstąpienie od wszczęcia postępowania przymuszającego w sytuacji gdy w wyniku podjęcia czynności wyjaśniających stwierdzono, że postępowanie przymuszające nie doprowadzi wykazania okoliczności, o których mowa w ust. 1a pkt 1 albo do wykonania czynności, o których mowa w ust. 1a pkt 2. Oznacza to, że obecnie - w nieokreślonym bliżej postępowaniu z urzędu sąd rejestrowy  bada czy z danych zawartych w aktach rejestrowych wynika, że nie doprowadzi ono do złożenia wniosku o wpis do Rejestru lub dokumentów, których złożenie jest obowiązkowe - czyli de facto -  przeprowadza czynności wyjaśniające. W przypadku uznania, że postępowanie przymuszające nie doprowadzi do pożądanego skutku, znów - w tym bliżej nie sprecyzowanym postępowaniu prowadzonym z urzędu - wydaje postanowienie o odstąpieniu od wszczęcia postępowania przymuszającego.</w:t>
            </w:r>
          </w:p>
          <w:p w14:paraId="1BF95890" w14:textId="5F47426E" w:rsidR="00830B9E" w:rsidRPr="001E5FE3" w:rsidRDefault="00830B9E" w:rsidP="00830B9E">
            <w:pPr>
              <w:autoSpaceDE w:val="0"/>
              <w:autoSpaceDN w:val="0"/>
              <w:adjustRightInd w:val="0"/>
              <w:jc w:val="both"/>
              <w:rPr>
                <w:rFonts w:ascii="Times New Roman" w:eastAsia="Times New Roman" w:hAnsi="Times New Roman" w:cs="Times New Roman"/>
                <w:b/>
                <w:sz w:val="20"/>
                <w:szCs w:val="20"/>
                <w:lang w:eastAsia="pl-PL"/>
              </w:rPr>
            </w:pPr>
            <w:r w:rsidRPr="00830B9E">
              <w:rPr>
                <w:rFonts w:ascii="Times New Roman" w:eastAsia="Times New Roman" w:hAnsi="Times New Roman" w:cs="Times New Roman"/>
                <w:bCs/>
                <w:sz w:val="20"/>
                <w:szCs w:val="20"/>
                <w:lang w:eastAsia="pl-PL"/>
              </w:rPr>
              <w:lastRenderedPageBreak/>
              <w:t>W projektowanym przepisie wszystkie ww. czynności prowadzone są w ramach postępowania przymuszającego i możliwe jest odstąpienie od postępowania przymuszającego (a nie jego wszczęcia) w przypadkach określonych w ustawie.</w:t>
            </w:r>
            <w:r w:rsidRPr="00830B9E">
              <w:rPr>
                <w:rFonts w:ascii="Times New Roman" w:eastAsia="Times New Roman" w:hAnsi="Times New Roman" w:cs="Times New Roman"/>
                <w:b/>
                <w:sz w:val="20"/>
                <w:szCs w:val="20"/>
                <w:lang w:eastAsia="pl-PL"/>
              </w:rPr>
              <w:t xml:space="preserve">  </w:t>
            </w:r>
          </w:p>
        </w:tc>
      </w:tr>
      <w:tr w:rsidR="00BC20AC" w:rsidRPr="005134B0" w14:paraId="61C21779" w14:textId="77777777" w:rsidTr="00B241C8">
        <w:trPr>
          <w:jc w:val="center"/>
        </w:trPr>
        <w:tc>
          <w:tcPr>
            <w:tcW w:w="562" w:type="dxa"/>
          </w:tcPr>
          <w:p w14:paraId="3BE7A9DA" w14:textId="4CEAF216" w:rsidR="00BC20AC" w:rsidRPr="005134B0" w:rsidRDefault="00861B5C"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18.</w:t>
            </w:r>
          </w:p>
        </w:tc>
        <w:tc>
          <w:tcPr>
            <w:tcW w:w="1843" w:type="dxa"/>
            <w:vAlign w:val="center"/>
          </w:tcPr>
          <w:p w14:paraId="416BEAEF" w14:textId="16368973" w:rsidR="00BC20AC" w:rsidRPr="001E5FE3" w:rsidRDefault="00BC20AC"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Rzeszowie</w:t>
            </w:r>
          </w:p>
        </w:tc>
        <w:tc>
          <w:tcPr>
            <w:tcW w:w="1843" w:type="dxa"/>
            <w:vAlign w:val="center"/>
          </w:tcPr>
          <w:p w14:paraId="6420AB63" w14:textId="5D7CB892" w:rsidR="00BC20AC" w:rsidRPr="001E5FE3" w:rsidRDefault="00BC20AC" w:rsidP="00F43ABB">
            <w:pPr>
              <w:spacing w:before="120" w:after="120"/>
              <w:jc w:val="both"/>
              <w:rPr>
                <w:rFonts w:ascii="Times New Roman" w:hAnsi="Times New Roman" w:cs="Times New Roman"/>
                <w:bCs/>
                <w:sz w:val="20"/>
                <w:szCs w:val="20"/>
              </w:rPr>
            </w:pPr>
            <w:r w:rsidRPr="00BC20AC">
              <w:rPr>
                <w:rFonts w:ascii="Times New Roman" w:hAnsi="Times New Roman" w:cs="Times New Roman"/>
                <w:bCs/>
                <w:sz w:val="20"/>
                <w:szCs w:val="20"/>
              </w:rPr>
              <w:t>art. 1 pkt 13 lit. b</w:t>
            </w:r>
            <w:r>
              <w:rPr>
                <w:rFonts w:ascii="Times New Roman" w:hAnsi="Times New Roman" w:cs="Times New Roman"/>
                <w:bCs/>
                <w:sz w:val="20"/>
                <w:szCs w:val="20"/>
              </w:rPr>
              <w:t xml:space="preserve"> (</w:t>
            </w:r>
            <w:r w:rsidRPr="00BC20AC">
              <w:rPr>
                <w:rFonts w:ascii="Times New Roman" w:hAnsi="Times New Roman" w:cs="Times New Roman"/>
                <w:bCs/>
                <w:sz w:val="20"/>
                <w:szCs w:val="20"/>
              </w:rPr>
              <w:t xml:space="preserve">art. 24 ust. 2a </w:t>
            </w:r>
            <w:r>
              <w:rPr>
                <w:rFonts w:ascii="Times New Roman" w:hAnsi="Times New Roman" w:cs="Times New Roman"/>
                <w:bCs/>
                <w:sz w:val="20"/>
                <w:szCs w:val="20"/>
              </w:rPr>
              <w:t>ustawy o KRS)</w:t>
            </w:r>
          </w:p>
        </w:tc>
        <w:tc>
          <w:tcPr>
            <w:tcW w:w="5670" w:type="dxa"/>
            <w:vAlign w:val="center"/>
          </w:tcPr>
          <w:p w14:paraId="545BE9A1" w14:textId="3C3DECE7" w:rsidR="00BC20AC" w:rsidRPr="001E5FE3" w:rsidRDefault="00BC20AC" w:rsidP="00ED4ED5">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W</w:t>
            </w:r>
            <w:r w:rsidRPr="00BC20AC">
              <w:rPr>
                <w:rFonts w:ascii="Times New Roman" w:eastAsia="Open Sans Light" w:hAnsi="Times New Roman" w:cs="Times New Roman"/>
                <w:bCs/>
                <w:sz w:val="20"/>
                <w:szCs w:val="20"/>
              </w:rPr>
              <w:t xml:space="preserve"> związku z zawartym w uzasadnieniu projektu stwierdzeniem, że postanowienie o wpisie wzmianki o niewykonywaniu obowiązku złożenia dokumentów finansowych pomimo wezwania sądu będzie wydawanym z urzędu orzeczeniem kończącym postępowanie przymuszające, należy wskazać, iż funkcjonalność systemu SOW nie przewiduje możliwości zakończenia wpisem sprawy zarejestrowanej jako ,,postępowanie przymuszające". Konieczne jest zarejestrowanie pod nową sygnatura sprawy o zmianę wpisu z urzędu po umorzeniu postępowania przymuszającego</w:t>
            </w:r>
            <w:r>
              <w:rPr>
                <w:rFonts w:ascii="Times New Roman" w:eastAsia="Open Sans Light" w:hAnsi="Times New Roman" w:cs="Times New Roman"/>
                <w:bCs/>
                <w:sz w:val="20"/>
                <w:szCs w:val="20"/>
              </w:rPr>
              <w:t>.</w:t>
            </w:r>
          </w:p>
        </w:tc>
        <w:tc>
          <w:tcPr>
            <w:tcW w:w="4076" w:type="dxa"/>
          </w:tcPr>
          <w:p w14:paraId="7DBE7B55" w14:textId="77777777" w:rsidR="00BC20AC" w:rsidRDefault="00C22802"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
                <w:sz w:val="20"/>
                <w:szCs w:val="20"/>
                <w:lang w:eastAsia="pl-PL"/>
              </w:rPr>
              <w:t>Uwaga uwzględniona</w:t>
            </w:r>
          </w:p>
          <w:p w14:paraId="651E9835" w14:textId="02ED4EEF" w:rsidR="00C22802" w:rsidRPr="00C22802" w:rsidRDefault="00C22802"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 xml:space="preserve">Ministerstwo Sprawiedliwości dokonana modyfikacji systemu umożliwiającą zamieszenie </w:t>
            </w:r>
            <w:r w:rsidRPr="00C22802">
              <w:rPr>
                <w:rFonts w:ascii="Times New Roman" w:eastAsia="Times New Roman" w:hAnsi="Times New Roman" w:cs="Times New Roman"/>
                <w:bCs/>
                <w:sz w:val="20"/>
                <w:szCs w:val="20"/>
                <w:lang w:eastAsia="pl-PL"/>
              </w:rPr>
              <w:t>wzmianki o niewykonywaniu obowiązku złożenia dokumentów finansowych pomimo wezwania pod sygnaturą postępowania przymuszającego</w:t>
            </w:r>
            <w:r>
              <w:rPr>
                <w:rFonts w:ascii="Times New Roman" w:eastAsia="Times New Roman" w:hAnsi="Times New Roman" w:cs="Times New Roman"/>
                <w:bCs/>
                <w:sz w:val="20"/>
                <w:szCs w:val="20"/>
                <w:lang w:eastAsia="pl-PL"/>
              </w:rPr>
              <w:t>. Niemniej dokonanie odpowiednich modyfikacji spowoduje późniejsze wejście w życie tych przepisów.</w:t>
            </w:r>
          </w:p>
        </w:tc>
      </w:tr>
      <w:tr w:rsidR="00861B5C" w:rsidRPr="005134B0" w14:paraId="260A0058" w14:textId="77777777" w:rsidTr="00B241C8">
        <w:trPr>
          <w:jc w:val="center"/>
        </w:trPr>
        <w:tc>
          <w:tcPr>
            <w:tcW w:w="562" w:type="dxa"/>
          </w:tcPr>
          <w:p w14:paraId="1AC668EE" w14:textId="7D0B429B" w:rsidR="00861B5C" w:rsidRPr="005134B0" w:rsidRDefault="00EF05E6"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19.</w:t>
            </w:r>
          </w:p>
        </w:tc>
        <w:tc>
          <w:tcPr>
            <w:tcW w:w="1843" w:type="dxa"/>
            <w:vAlign w:val="center"/>
          </w:tcPr>
          <w:p w14:paraId="48B425DD" w14:textId="490CC805" w:rsidR="00861B5C" w:rsidRPr="001E5FE3" w:rsidRDefault="00EF05E6"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Krakowie</w:t>
            </w:r>
          </w:p>
        </w:tc>
        <w:tc>
          <w:tcPr>
            <w:tcW w:w="1843" w:type="dxa"/>
            <w:vAlign w:val="center"/>
          </w:tcPr>
          <w:p w14:paraId="421D59FD" w14:textId="1F5946D2" w:rsidR="00861B5C" w:rsidRPr="001E5FE3" w:rsidRDefault="00EF05E6" w:rsidP="00F43ABB">
            <w:pPr>
              <w:spacing w:before="120" w:after="120"/>
              <w:jc w:val="both"/>
              <w:rPr>
                <w:rFonts w:ascii="Times New Roman" w:hAnsi="Times New Roman" w:cs="Times New Roman"/>
                <w:bCs/>
                <w:sz w:val="20"/>
                <w:szCs w:val="20"/>
              </w:rPr>
            </w:pPr>
            <w:r w:rsidRPr="00EF05E6">
              <w:rPr>
                <w:rFonts w:ascii="Times New Roman" w:hAnsi="Times New Roman" w:cs="Times New Roman"/>
                <w:bCs/>
                <w:sz w:val="20"/>
                <w:szCs w:val="20"/>
              </w:rPr>
              <w:t>art. 1 pkt 13 lit. b</w:t>
            </w:r>
            <w:r>
              <w:rPr>
                <w:rFonts w:ascii="Times New Roman" w:hAnsi="Times New Roman" w:cs="Times New Roman"/>
                <w:bCs/>
                <w:sz w:val="20"/>
                <w:szCs w:val="20"/>
              </w:rPr>
              <w:t xml:space="preserve"> (</w:t>
            </w:r>
            <w:r w:rsidRPr="00EF05E6">
              <w:rPr>
                <w:rFonts w:ascii="Times New Roman" w:hAnsi="Times New Roman" w:cs="Times New Roman"/>
                <w:bCs/>
                <w:sz w:val="20"/>
                <w:szCs w:val="20"/>
              </w:rPr>
              <w:t>art. 24 ust. 2a u</w:t>
            </w:r>
            <w:r>
              <w:rPr>
                <w:rFonts w:ascii="Times New Roman" w:hAnsi="Times New Roman" w:cs="Times New Roman"/>
                <w:bCs/>
                <w:sz w:val="20"/>
                <w:szCs w:val="20"/>
              </w:rPr>
              <w:t xml:space="preserve">stawa o </w:t>
            </w:r>
            <w:r w:rsidRPr="00EF05E6">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357B6E47" w14:textId="5EDCC85C" w:rsidR="00EF05E6" w:rsidRPr="00EF05E6" w:rsidRDefault="00EF05E6" w:rsidP="00EF05E6">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N</w:t>
            </w:r>
            <w:r w:rsidRPr="00EF05E6">
              <w:rPr>
                <w:rFonts w:ascii="Times New Roman" w:eastAsia="Open Sans Light" w:hAnsi="Times New Roman" w:cs="Times New Roman"/>
                <w:bCs/>
                <w:sz w:val="20"/>
                <w:szCs w:val="20"/>
              </w:rPr>
              <w:t>ależy zauważyć, że zbędna jest część regulacji art. 24 ust. 2a w zakresie w jakim obliguje sąd rejestrowy do dokonania wezwania do złożenia dokumentów finansowych do repozytorium dokumentów finansowych. W mojej ocenie czynność ta jest zbędna z uwagi na fakt, iż podmiot rejestrowy, którego dotyczy taki problem doskonale wie, że taki obowiązek nie został przez niego wykonany. Nadto o tym, że problem taki został dostrzeżony dany podmiot dowie się poprzez zamieszczenie wzmianki o tym w Rejestrze, przy uwzględnieniu, że ma on obowiązek stałego monitorowania danych znajdujących się w Rejestrze.</w:t>
            </w:r>
          </w:p>
          <w:p w14:paraId="7B121C6B" w14:textId="5B426D43" w:rsidR="00861B5C" w:rsidRPr="001E5FE3" w:rsidRDefault="00EF05E6" w:rsidP="00EF05E6">
            <w:pPr>
              <w:jc w:val="both"/>
              <w:rPr>
                <w:rFonts w:ascii="Times New Roman" w:eastAsia="Open Sans Light" w:hAnsi="Times New Roman" w:cs="Times New Roman"/>
                <w:bCs/>
                <w:sz w:val="20"/>
                <w:szCs w:val="20"/>
              </w:rPr>
            </w:pPr>
            <w:r w:rsidRPr="00EF05E6">
              <w:rPr>
                <w:rFonts w:ascii="Times New Roman" w:eastAsia="Open Sans Light" w:hAnsi="Times New Roman" w:cs="Times New Roman"/>
                <w:bCs/>
                <w:sz w:val="20"/>
                <w:szCs w:val="20"/>
              </w:rPr>
              <w:t>Z kolei wykreślenie tego obowiązku zmniejszyłoby znacznie ilość czynności (notabene praktycznie bezskutecznych) wykonywanych przez sądy rejestrowe, co pozwoliłoby im na skoncentrowanie się na zapewnieniu sprawności postępowania rejestrowego w innych obszarach.</w:t>
            </w:r>
          </w:p>
        </w:tc>
        <w:tc>
          <w:tcPr>
            <w:tcW w:w="4076" w:type="dxa"/>
          </w:tcPr>
          <w:p w14:paraId="444D7CBF" w14:textId="77777777" w:rsidR="00861B5C" w:rsidRDefault="00EF05E6"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00D92917" w14:textId="7D5B1BF6" w:rsidR="00EF05E6" w:rsidRPr="00EF05E6" w:rsidRDefault="00EF05E6" w:rsidP="001E5FE3">
            <w:pPr>
              <w:autoSpaceDE w:val="0"/>
              <w:autoSpaceDN w:val="0"/>
              <w:adjustRightInd w:val="0"/>
              <w:jc w:val="both"/>
              <w:rPr>
                <w:rFonts w:ascii="Times New Roman" w:eastAsia="Times New Roman" w:hAnsi="Times New Roman" w:cs="Times New Roman"/>
                <w:bCs/>
                <w:sz w:val="20"/>
                <w:szCs w:val="20"/>
                <w:lang w:eastAsia="pl-PL"/>
              </w:rPr>
            </w:pPr>
            <w:r w:rsidRPr="00EF05E6">
              <w:rPr>
                <w:rFonts w:ascii="Times New Roman" w:eastAsia="Times New Roman" w:hAnsi="Times New Roman" w:cs="Times New Roman"/>
                <w:bCs/>
                <w:sz w:val="20"/>
                <w:szCs w:val="20"/>
                <w:lang w:eastAsia="pl-PL"/>
              </w:rPr>
              <w:t>Wzmianka jest rodzajem sankcji. Sąd rejestrowy zawsze ma obowiązek wezwać podmiot do wykonania obowiązku zanim nałoży sankcję. Wezwanie zabezpiecza prawo podmiotu do obrony przed objęciem go nieuzasadnionymi sankcjami.</w:t>
            </w:r>
          </w:p>
        </w:tc>
      </w:tr>
      <w:tr w:rsidR="00EF05E6" w:rsidRPr="005134B0" w14:paraId="229D28ED" w14:textId="77777777" w:rsidTr="00B241C8">
        <w:trPr>
          <w:jc w:val="center"/>
        </w:trPr>
        <w:tc>
          <w:tcPr>
            <w:tcW w:w="562" w:type="dxa"/>
          </w:tcPr>
          <w:p w14:paraId="345C47A8" w14:textId="14E19C77" w:rsidR="00EF05E6" w:rsidRDefault="00EF05E6"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20.</w:t>
            </w:r>
          </w:p>
        </w:tc>
        <w:tc>
          <w:tcPr>
            <w:tcW w:w="1843" w:type="dxa"/>
            <w:vAlign w:val="center"/>
          </w:tcPr>
          <w:p w14:paraId="5335BE9D" w14:textId="65FE7BA7" w:rsidR="00EF05E6" w:rsidRDefault="00EF05E6"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4FDE6AEB" w14:textId="799AC302" w:rsidR="00EF05E6" w:rsidRPr="00EF05E6" w:rsidRDefault="00EF05E6"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A</w:t>
            </w:r>
            <w:r w:rsidRPr="00EF05E6">
              <w:rPr>
                <w:rFonts w:ascii="Times New Roman" w:hAnsi="Times New Roman" w:cs="Times New Roman"/>
                <w:bCs/>
                <w:sz w:val="20"/>
                <w:szCs w:val="20"/>
              </w:rPr>
              <w:t>rt. 1 pkt 13 lit. b</w:t>
            </w:r>
            <w:r>
              <w:rPr>
                <w:rFonts w:ascii="Times New Roman" w:hAnsi="Times New Roman" w:cs="Times New Roman"/>
                <w:bCs/>
                <w:sz w:val="20"/>
                <w:szCs w:val="20"/>
              </w:rPr>
              <w:t xml:space="preserve"> (</w:t>
            </w:r>
            <w:r w:rsidRPr="00EF05E6">
              <w:rPr>
                <w:rFonts w:ascii="Times New Roman" w:hAnsi="Times New Roman" w:cs="Times New Roman"/>
                <w:bCs/>
                <w:sz w:val="20"/>
                <w:szCs w:val="20"/>
              </w:rPr>
              <w:t>art. 24 ust. 2b i 2c u</w:t>
            </w:r>
            <w:r>
              <w:rPr>
                <w:rFonts w:ascii="Times New Roman" w:hAnsi="Times New Roman" w:cs="Times New Roman"/>
                <w:bCs/>
                <w:sz w:val="20"/>
                <w:szCs w:val="20"/>
              </w:rPr>
              <w:t xml:space="preserve">stawy o </w:t>
            </w:r>
            <w:r w:rsidRPr="00EF05E6">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5A96AFC2" w14:textId="77777777" w:rsidR="00EF05E6" w:rsidRPr="00EF05E6" w:rsidRDefault="00EF05E6" w:rsidP="00EF05E6">
            <w:pPr>
              <w:jc w:val="both"/>
              <w:rPr>
                <w:rFonts w:ascii="Times New Roman" w:eastAsia="Open Sans Light" w:hAnsi="Times New Roman" w:cs="Times New Roman"/>
                <w:bCs/>
                <w:sz w:val="20"/>
                <w:szCs w:val="20"/>
              </w:rPr>
            </w:pPr>
            <w:r w:rsidRPr="00EF05E6">
              <w:rPr>
                <w:rFonts w:ascii="Times New Roman" w:eastAsia="Open Sans Light" w:hAnsi="Times New Roman" w:cs="Times New Roman"/>
                <w:bCs/>
                <w:sz w:val="20"/>
                <w:szCs w:val="20"/>
              </w:rPr>
              <w:t>Art.24.2b sąd rejestrowy niezwłocznie zawiadamia naczelnika urzędu skarbowego właściwego ….– zawiadomienie NUS co miesiąc ? raz na kwartał ? ; co z zawiadomieniem Prokuratury ?</w:t>
            </w:r>
          </w:p>
          <w:p w14:paraId="22B8AA11" w14:textId="61E188E8" w:rsidR="00EF05E6" w:rsidRDefault="00EF05E6" w:rsidP="00EF05E6">
            <w:pPr>
              <w:jc w:val="both"/>
              <w:rPr>
                <w:rFonts w:ascii="Times New Roman" w:eastAsia="Open Sans Light" w:hAnsi="Times New Roman" w:cs="Times New Roman"/>
                <w:bCs/>
                <w:sz w:val="20"/>
                <w:szCs w:val="20"/>
              </w:rPr>
            </w:pPr>
            <w:r w:rsidRPr="00EF05E6">
              <w:rPr>
                <w:rFonts w:ascii="Times New Roman" w:eastAsia="Open Sans Light" w:hAnsi="Times New Roman" w:cs="Times New Roman"/>
                <w:bCs/>
                <w:sz w:val="20"/>
                <w:szCs w:val="20"/>
              </w:rPr>
              <w:t>Art.24.2c zdanie drugie: „ wpis wzmianki jest równoważny z wezwaniem podmiotu obowiązanego do złożenia innych dokumentów, których niezłożenie stwierdzono po jej zamieszczeniu” - nie wiadomo o co chodzi</w:t>
            </w:r>
          </w:p>
        </w:tc>
        <w:tc>
          <w:tcPr>
            <w:tcW w:w="4076" w:type="dxa"/>
          </w:tcPr>
          <w:p w14:paraId="35D37A08" w14:textId="77777777" w:rsidR="00EF05E6" w:rsidRDefault="00EF05E6"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216108D9" w14:textId="585C783B" w:rsidR="00EF05E6" w:rsidRPr="00EF05E6" w:rsidRDefault="00EF05E6" w:rsidP="001E5FE3">
            <w:pPr>
              <w:autoSpaceDE w:val="0"/>
              <w:autoSpaceDN w:val="0"/>
              <w:adjustRightInd w:val="0"/>
              <w:jc w:val="both"/>
              <w:rPr>
                <w:rFonts w:ascii="Times New Roman" w:eastAsia="Times New Roman" w:hAnsi="Times New Roman" w:cs="Times New Roman"/>
                <w:bCs/>
                <w:sz w:val="20"/>
                <w:szCs w:val="20"/>
                <w:lang w:eastAsia="pl-PL"/>
              </w:rPr>
            </w:pPr>
            <w:r w:rsidRPr="00EF05E6">
              <w:rPr>
                <w:rFonts w:ascii="Times New Roman" w:eastAsia="Times New Roman" w:hAnsi="Times New Roman" w:cs="Times New Roman"/>
                <w:bCs/>
                <w:sz w:val="20"/>
                <w:szCs w:val="20"/>
                <w:lang w:eastAsia="pl-PL"/>
              </w:rPr>
              <w:t xml:space="preserve">Odnośnie uwagi do art. 24 ust. 2b Sąd Najwyższy w wyroku z dnia 13 grudnia 2006 r. sygn. akt II CSK 293/06 wskazał, że terminu </w:t>
            </w:r>
            <w:r>
              <w:rPr>
                <w:rFonts w:ascii="Times New Roman" w:eastAsia="Times New Roman" w:hAnsi="Times New Roman" w:cs="Times New Roman"/>
                <w:bCs/>
                <w:sz w:val="20"/>
                <w:szCs w:val="20"/>
                <w:lang w:eastAsia="pl-PL"/>
              </w:rPr>
              <w:t>„</w:t>
            </w:r>
            <w:r w:rsidRPr="00EF05E6">
              <w:rPr>
                <w:rFonts w:ascii="Times New Roman" w:eastAsia="Times New Roman" w:hAnsi="Times New Roman" w:cs="Times New Roman"/>
                <w:bCs/>
                <w:sz w:val="20"/>
                <w:szCs w:val="20"/>
                <w:lang w:eastAsia="pl-PL"/>
              </w:rPr>
              <w:t>niezwłocznie</w:t>
            </w:r>
            <w:r>
              <w:rPr>
                <w:rFonts w:ascii="Times New Roman" w:eastAsia="Times New Roman" w:hAnsi="Times New Roman" w:cs="Times New Roman"/>
                <w:bCs/>
                <w:sz w:val="20"/>
                <w:szCs w:val="20"/>
                <w:lang w:eastAsia="pl-PL"/>
              </w:rPr>
              <w:t>”</w:t>
            </w:r>
            <w:r w:rsidRPr="00EF05E6">
              <w:rPr>
                <w:rFonts w:ascii="Times New Roman" w:eastAsia="Times New Roman" w:hAnsi="Times New Roman" w:cs="Times New Roman"/>
                <w:bCs/>
                <w:sz w:val="20"/>
                <w:szCs w:val="20"/>
                <w:lang w:eastAsia="pl-PL"/>
              </w:rPr>
              <w:t xml:space="preserve"> nie należy utożsamiać z terminem natychmiastowym, termin </w:t>
            </w:r>
            <w:r>
              <w:rPr>
                <w:rFonts w:ascii="Times New Roman" w:eastAsia="Times New Roman" w:hAnsi="Times New Roman" w:cs="Times New Roman"/>
                <w:bCs/>
                <w:sz w:val="20"/>
                <w:szCs w:val="20"/>
                <w:lang w:eastAsia="pl-PL"/>
              </w:rPr>
              <w:t>„</w:t>
            </w:r>
            <w:r w:rsidRPr="00EF05E6">
              <w:rPr>
                <w:rFonts w:ascii="Times New Roman" w:eastAsia="Times New Roman" w:hAnsi="Times New Roman" w:cs="Times New Roman"/>
                <w:bCs/>
                <w:sz w:val="20"/>
                <w:szCs w:val="20"/>
                <w:lang w:eastAsia="pl-PL"/>
              </w:rPr>
              <w:t>niezwłocznie</w:t>
            </w:r>
            <w:r>
              <w:rPr>
                <w:rFonts w:ascii="Times New Roman" w:eastAsia="Times New Roman" w:hAnsi="Times New Roman" w:cs="Times New Roman"/>
                <w:bCs/>
                <w:sz w:val="20"/>
                <w:szCs w:val="20"/>
                <w:lang w:eastAsia="pl-PL"/>
              </w:rPr>
              <w:t>”</w:t>
            </w:r>
            <w:r w:rsidRPr="00EF05E6">
              <w:rPr>
                <w:rFonts w:ascii="Times New Roman" w:eastAsia="Times New Roman" w:hAnsi="Times New Roman" w:cs="Times New Roman"/>
                <w:bCs/>
                <w:sz w:val="20"/>
                <w:szCs w:val="20"/>
                <w:lang w:eastAsia="pl-PL"/>
              </w:rPr>
              <w:t xml:space="preserve"> oznacza bowiem termin realny, mający na względzie okoliczności miejsca i </w:t>
            </w:r>
            <w:r w:rsidRPr="00EF05E6">
              <w:rPr>
                <w:rFonts w:ascii="Times New Roman" w:eastAsia="Times New Roman" w:hAnsi="Times New Roman" w:cs="Times New Roman"/>
                <w:bCs/>
                <w:sz w:val="20"/>
                <w:szCs w:val="20"/>
                <w:lang w:eastAsia="pl-PL"/>
              </w:rPr>
              <w:lastRenderedPageBreak/>
              <w:t xml:space="preserve">czasu. Termin "niezwłocznie" w zależności od okoliczności (w tym przypadku obciążenia pracą sądów rejestrowych) może oznaczać zarówno natychmiast jak i bez nieuzasadnionej zwłoki czy w możliwie najkrótszym terminie.       Odnosząc się do dalszej części uwagi dot. tego przepisu należy wskazać jak w uzasadnieniu projektu, że rozpoznawanie, wykrywanie i zwalczanie przestępstw określonych w ustawie o rachunkowości, zapobieganie tym przestępstwom oraz ściganie ich sprawców należy, zgodnie z art. 28 ust. 1 pkt 11 ustawy z dnia 16 listopada 2016 r. o Krajowej Administracji Skarbowej do zadań naczelnika urzędu skarbowego. To ten organ jest zatem co do zasady właściwy do prowadzenia dochodzenia, w przypadku podejrzenia popełnienia czynu zabronionego z art. 79 pkt 4 ustawy o rachunkowości. Zgodnie z § 2 ust. 2a rozporządzenia Ministra Sprawiedliwości z dnia 22 września 2015 r. w sprawie organów uprawnionych obok Policji do prowadzenia dochodzeń oraz organów uprawnionych do wnoszenia i popierania oskarżenia przed sądem pierwszej instancji w sprawach, w których prowadzono dochodzenie, jak również zakresu spraw zleconych tym organom naczelnik urzędu celno-skarbowego – w sprawach z zakresu kontroli celno-skarbowej oraz naczelnik urzędu skarbowego – w pozostałych sprawach – mają samodzielne uprawnienia do wnoszenia i popierania oskarżenia przed sądem pierwszej instancji w sprawach o przestępstwa określone w art. 77-79 ustawy o rachunkowości.                                                                               Odnośnie uwagi do art. 24 ust. 2c zdanie drugie: „ wpis wzmianki jest równoważny z wezwaniem podmiotu obowiązanego do złożenia innych </w:t>
            </w:r>
            <w:r w:rsidRPr="00EF05E6">
              <w:rPr>
                <w:rFonts w:ascii="Times New Roman" w:eastAsia="Times New Roman" w:hAnsi="Times New Roman" w:cs="Times New Roman"/>
                <w:bCs/>
                <w:sz w:val="20"/>
                <w:szCs w:val="20"/>
                <w:lang w:eastAsia="pl-PL"/>
              </w:rPr>
              <w:lastRenderedPageBreak/>
              <w:t>dokumentów, których niezłożenie stwierdzono po jej zamieszczeniu” - takie brzmienie przepisu oznacza, że po wpisie ww. wzmianki sąd rejestrowy nie wszczyna kolejnych postępowań przymuszających i nie wzywa do złożenia dokumentów finansowych, których brak został stwierdzony po jej zamieszczeniu np.: dokumentów finansowych za kolejny rok obrotowy następujący po roku, w którym zamieszczono wzmiankę. Wzmianka bowiem zastępuje wezwanie sądu.</w:t>
            </w:r>
          </w:p>
        </w:tc>
      </w:tr>
      <w:tr w:rsidR="001651CE" w:rsidRPr="005134B0" w14:paraId="19E4B09C" w14:textId="77777777" w:rsidTr="00B241C8">
        <w:trPr>
          <w:jc w:val="center"/>
        </w:trPr>
        <w:tc>
          <w:tcPr>
            <w:tcW w:w="562" w:type="dxa"/>
          </w:tcPr>
          <w:p w14:paraId="1CCA14FD" w14:textId="35E35DFF" w:rsidR="001651CE" w:rsidRPr="005134B0" w:rsidRDefault="001651CE"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21.</w:t>
            </w:r>
          </w:p>
        </w:tc>
        <w:tc>
          <w:tcPr>
            <w:tcW w:w="1843" w:type="dxa"/>
            <w:vAlign w:val="center"/>
          </w:tcPr>
          <w:p w14:paraId="0F93F312" w14:textId="2529646D" w:rsidR="001651CE" w:rsidRPr="001E5FE3" w:rsidRDefault="001651C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39E0C61E" w14:textId="5CE52802" w:rsidR="001651CE" w:rsidRPr="001E5FE3" w:rsidRDefault="001651CE" w:rsidP="00F43ABB">
            <w:pPr>
              <w:spacing w:before="120" w:after="120"/>
              <w:jc w:val="both"/>
              <w:rPr>
                <w:rFonts w:ascii="Times New Roman" w:hAnsi="Times New Roman" w:cs="Times New Roman"/>
                <w:bCs/>
                <w:sz w:val="20"/>
                <w:szCs w:val="20"/>
              </w:rPr>
            </w:pPr>
            <w:r w:rsidRPr="001651CE">
              <w:rPr>
                <w:rFonts w:ascii="Times New Roman" w:hAnsi="Times New Roman" w:cs="Times New Roman"/>
                <w:bCs/>
                <w:sz w:val="20"/>
                <w:szCs w:val="20"/>
              </w:rPr>
              <w:t>art. 1 pkt 13 lit. b</w:t>
            </w:r>
            <w:r>
              <w:rPr>
                <w:rFonts w:ascii="Times New Roman" w:hAnsi="Times New Roman" w:cs="Times New Roman"/>
                <w:bCs/>
                <w:sz w:val="20"/>
                <w:szCs w:val="20"/>
              </w:rPr>
              <w:t xml:space="preserve"> (</w:t>
            </w:r>
            <w:r w:rsidRPr="001651CE">
              <w:rPr>
                <w:rFonts w:ascii="Times New Roman" w:hAnsi="Times New Roman" w:cs="Times New Roman"/>
                <w:bCs/>
                <w:sz w:val="20"/>
                <w:szCs w:val="20"/>
              </w:rPr>
              <w:t>art. 24 ust. 2b u</w:t>
            </w:r>
            <w:r>
              <w:rPr>
                <w:rFonts w:ascii="Times New Roman" w:hAnsi="Times New Roman" w:cs="Times New Roman"/>
                <w:bCs/>
                <w:sz w:val="20"/>
                <w:szCs w:val="20"/>
              </w:rPr>
              <w:t xml:space="preserve">stawy o </w:t>
            </w:r>
            <w:r w:rsidRPr="001651CE">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7F1D38CC" w14:textId="4497DA56" w:rsidR="001651CE" w:rsidRPr="001E5FE3" w:rsidRDefault="001651CE" w:rsidP="00ED4ED5">
            <w:pPr>
              <w:jc w:val="both"/>
              <w:rPr>
                <w:rFonts w:ascii="Times New Roman" w:eastAsia="Open Sans Light" w:hAnsi="Times New Roman" w:cs="Times New Roman"/>
                <w:bCs/>
                <w:sz w:val="20"/>
                <w:szCs w:val="20"/>
              </w:rPr>
            </w:pPr>
            <w:r w:rsidRPr="001651CE">
              <w:rPr>
                <w:rFonts w:ascii="Times New Roman" w:eastAsia="Open Sans Light" w:hAnsi="Times New Roman" w:cs="Times New Roman"/>
                <w:bCs/>
                <w:sz w:val="20"/>
                <w:szCs w:val="20"/>
              </w:rPr>
              <w:t>Wydaje się zbędne zawarte w art. 24 ust. 2b ustawy szczegółowe regulowanie trybu zawiadamiania o podejrzeniu popełnienia przestępstwa z art. 79 pkt 4 ustawy o rachunkowości. Poszczególne sądy rejestrowe mogły już wypracować sprawne kanały komunikacji w tym względzie i w związku z tym nadmierne usztywnianie procedur nie przyniesie żadnych korzyści w bieżącej pracy sądu. Paradoksalnie mogłoby to dodatkowo obciążać sądy rejestrowe koniecznością np. udzielania licznych odpowiedzi na zapytania organów prowadzących dochodzenie w odniesieniu do kwestii, których nie zawiera treść zawiadomienia, o którym mowa w art. 24 ust. 2b zdanie 1. Poza tym ustawa o KRS nie wydaje się właściwym miejscem do regulowania sposobu dokonywania zawiadomień o podejrzeniu popełnienia przestępstwa.</w:t>
            </w:r>
          </w:p>
        </w:tc>
        <w:tc>
          <w:tcPr>
            <w:tcW w:w="4076" w:type="dxa"/>
          </w:tcPr>
          <w:p w14:paraId="020A94DC" w14:textId="77777777" w:rsidR="001651CE" w:rsidRDefault="001651CE"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1F18EA64" w14:textId="6F148653" w:rsidR="001651CE" w:rsidRPr="001651CE" w:rsidRDefault="001651CE" w:rsidP="001E5FE3">
            <w:pPr>
              <w:autoSpaceDE w:val="0"/>
              <w:autoSpaceDN w:val="0"/>
              <w:adjustRightInd w:val="0"/>
              <w:jc w:val="both"/>
              <w:rPr>
                <w:rFonts w:ascii="Times New Roman" w:eastAsia="Times New Roman" w:hAnsi="Times New Roman" w:cs="Times New Roman"/>
                <w:bCs/>
                <w:sz w:val="20"/>
                <w:szCs w:val="20"/>
                <w:lang w:eastAsia="pl-PL"/>
              </w:rPr>
            </w:pPr>
            <w:r w:rsidRPr="001651CE">
              <w:rPr>
                <w:rFonts w:ascii="Times New Roman" w:eastAsia="Times New Roman" w:hAnsi="Times New Roman" w:cs="Times New Roman"/>
                <w:bCs/>
                <w:sz w:val="20"/>
                <w:szCs w:val="20"/>
                <w:lang w:eastAsia="pl-PL"/>
              </w:rPr>
              <w:t>Projektowane przepisy mają na celu ujednolicenie dotychczasowych praktyk sądów rejestrowych. Sposób powiadamiania będzie uregulowany ustawowo jednolicie dla wszystkich sądów.</w:t>
            </w:r>
          </w:p>
        </w:tc>
      </w:tr>
      <w:tr w:rsidR="001651CE" w:rsidRPr="005134B0" w14:paraId="5BEF1191" w14:textId="77777777" w:rsidTr="00B241C8">
        <w:trPr>
          <w:jc w:val="center"/>
        </w:trPr>
        <w:tc>
          <w:tcPr>
            <w:tcW w:w="562" w:type="dxa"/>
          </w:tcPr>
          <w:p w14:paraId="586F5330" w14:textId="3D2CDEFD" w:rsidR="001651CE" w:rsidRPr="005134B0" w:rsidRDefault="001651CE"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22.</w:t>
            </w:r>
          </w:p>
        </w:tc>
        <w:tc>
          <w:tcPr>
            <w:tcW w:w="1843" w:type="dxa"/>
            <w:vAlign w:val="center"/>
          </w:tcPr>
          <w:p w14:paraId="41D7448F" w14:textId="47BCF937" w:rsidR="001651CE" w:rsidRPr="001E5FE3" w:rsidRDefault="001651C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7A6DFFE8" w14:textId="1A08F9DE" w:rsidR="001651CE" w:rsidRPr="001E5FE3" w:rsidRDefault="001651CE" w:rsidP="00F43ABB">
            <w:pPr>
              <w:spacing w:before="120" w:after="120"/>
              <w:jc w:val="both"/>
              <w:rPr>
                <w:rFonts w:ascii="Times New Roman" w:hAnsi="Times New Roman" w:cs="Times New Roman"/>
                <w:bCs/>
                <w:sz w:val="20"/>
                <w:szCs w:val="20"/>
              </w:rPr>
            </w:pPr>
            <w:r w:rsidRPr="001651CE">
              <w:rPr>
                <w:rFonts w:ascii="Times New Roman" w:hAnsi="Times New Roman" w:cs="Times New Roman"/>
                <w:bCs/>
                <w:sz w:val="20"/>
                <w:szCs w:val="20"/>
              </w:rPr>
              <w:t>art. 1 pkt 13 lit. c</w:t>
            </w:r>
            <w:r>
              <w:rPr>
                <w:rFonts w:ascii="Times New Roman" w:hAnsi="Times New Roman" w:cs="Times New Roman"/>
                <w:bCs/>
                <w:sz w:val="20"/>
                <w:szCs w:val="20"/>
              </w:rPr>
              <w:t xml:space="preserve"> (</w:t>
            </w:r>
            <w:r w:rsidRPr="001651CE">
              <w:rPr>
                <w:rFonts w:ascii="Times New Roman" w:hAnsi="Times New Roman" w:cs="Times New Roman"/>
                <w:bCs/>
                <w:sz w:val="20"/>
                <w:szCs w:val="20"/>
              </w:rPr>
              <w:t>art. 24 ust. 3 u</w:t>
            </w:r>
            <w:r>
              <w:rPr>
                <w:rFonts w:ascii="Times New Roman" w:hAnsi="Times New Roman" w:cs="Times New Roman"/>
                <w:bCs/>
                <w:sz w:val="20"/>
                <w:szCs w:val="20"/>
              </w:rPr>
              <w:t xml:space="preserve">stawy o </w:t>
            </w:r>
            <w:r w:rsidRPr="001651CE">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68FF5EF1" w14:textId="7C9CC7E6" w:rsidR="001651CE" w:rsidRPr="001E5FE3" w:rsidRDefault="001651CE" w:rsidP="00ED4ED5">
            <w:pPr>
              <w:jc w:val="both"/>
              <w:rPr>
                <w:rFonts w:ascii="Times New Roman" w:eastAsia="Open Sans Light" w:hAnsi="Times New Roman" w:cs="Times New Roman"/>
                <w:bCs/>
                <w:sz w:val="20"/>
                <w:szCs w:val="20"/>
              </w:rPr>
            </w:pPr>
            <w:r w:rsidRPr="001651CE">
              <w:rPr>
                <w:rFonts w:ascii="Times New Roman" w:eastAsia="Open Sans Light" w:hAnsi="Times New Roman" w:cs="Times New Roman"/>
                <w:bCs/>
                <w:sz w:val="20"/>
                <w:szCs w:val="20"/>
              </w:rPr>
              <w:t xml:space="preserve">Projektodawca w proponowanym ust. 3 do art. 24 ustawy o KRS przewiduje, iż sąd rejestrowy odstępuje od postępowania przymuszającego, o którym mowa w ust. 1 lub 1a, m.in. jeżeli w wyniku podjęcia czynności wyjaśniających stwierdzono, że wniosek o wpis do Rejestru lub dokumenty, których złożenie jest obowiązkowe zostały złożone. Podniesiono, że wykonanie obowiązku rejestrowego winno stanowić podstawę do umorzenia niniejszego postępowania na podstawie art. 355 k.p.c. w zw. z art. 13 § 2 k.p.c., a nie do wydania postanowienia o odstąpieniu. Przyjęcie proponowanej konstrukcji odstąpienia od postępowania obligowałoby sąd rejestrowy do wszczęcia z urzędu innego postępowania, tj. postępowania z urzędu o rozwiązanie podmiotu bez przeprowadzania likwidacji i o jego wykreślenie z rejestru na </w:t>
            </w:r>
            <w:r w:rsidRPr="001651CE">
              <w:rPr>
                <w:rFonts w:ascii="Times New Roman" w:eastAsia="Open Sans Light" w:hAnsi="Times New Roman" w:cs="Times New Roman"/>
                <w:bCs/>
                <w:sz w:val="20"/>
                <w:szCs w:val="20"/>
              </w:rPr>
              <w:lastRenderedPageBreak/>
              <w:t>podstawie przesłanki określonej w art. 25a ust. 1 pkt 3 Ustawy o KRS. W przedstawionym do zaopiniowania projekcie przewiduje się również, że w przypadku braku wykonania obowiązku złożenia wymaganych dokumentów finansowych przez podmiot rejestrowy, zamieszczana jest wzmianka o niewykonaniu obowiązku złożenia dokumentów finansowych i po roku następnie od jej zamieszczenia wszczynane jest z urzędu postępowanie o rozwiązanie podmiotu bez przeprowadzania postępowania likwidacyjnego z jednoczesnym zamieszczeniem wzmianki z urzędu o prowadzeniu tego postępowania.</w:t>
            </w:r>
          </w:p>
        </w:tc>
        <w:tc>
          <w:tcPr>
            <w:tcW w:w="4076" w:type="dxa"/>
          </w:tcPr>
          <w:p w14:paraId="7299F907" w14:textId="77777777" w:rsidR="001651CE" w:rsidRDefault="001651CE"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uwzględniona</w:t>
            </w:r>
          </w:p>
          <w:p w14:paraId="28EB9044" w14:textId="6C1D264E" w:rsidR="001651CE" w:rsidRDefault="001651CE"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Zaproponowano</w:t>
            </w:r>
            <w:r w:rsidRPr="001651CE">
              <w:rPr>
                <w:rFonts w:ascii="Times New Roman" w:eastAsia="Times New Roman" w:hAnsi="Times New Roman" w:cs="Times New Roman"/>
                <w:bCs/>
                <w:sz w:val="20"/>
                <w:szCs w:val="20"/>
                <w:lang w:eastAsia="pl-PL"/>
              </w:rPr>
              <w:t xml:space="preserve"> zmianę brzmienia art. 25a ust. 1 pkt 3</w:t>
            </w:r>
            <w:r w:rsidR="00154288">
              <w:rPr>
                <w:rFonts w:ascii="Times New Roman" w:eastAsia="Times New Roman" w:hAnsi="Times New Roman" w:cs="Times New Roman"/>
                <w:bCs/>
                <w:sz w:val="20"/>
                <w:szCs w:val="20"/>
                <w:lang w:eastAsia="pl-PL"/>
              </w:rPr>
              <w:t>:</w:t>
            </w:r>
          </w:p>
          <w:p w14:paraId="27EA208A" w14:textId="5B647155" w:rsidR="00154288" w:rsidRPr="001651CE" w:rsidRDefault="00154288" w:rsidP="001E5FE3">
            <w:pPr>
              <w:autoSpaceDE w:val="0"/>
              <w:autoSpaceDN w:val="0"/>
              <w:adjustRightInd w:val="0"/>
              <w:jc w:val="both"/>
              <w:rPr>
                <w:rFonts w:ascii="Times New Roman" w:eastAsia="Times New Roman" w:hAnsi="Times New Roman" w:cs="Times New Roman"/>
                <w:bCs/>
                <w:sz w:val="20"/>
                <w:szCs w:val="20"/>
                <w:lang w:eastAsia="pl-PL"/>
              </w:rPr>
            </w:pPr>
            <w:r w:rsidRPr="00154288">
              <w:rPr>
                <w:rFonts w:ascii="Times New Roman" w:eastAsia="Times New Roman" w:hAnsi="Times New Roman" w:cs="Times New Roman"/>
                <w:bCs/>
                <w:sz w:val="20"/>
                <w:szCs w:val="20"/>
                <w:lang w:eastAsia="pl-PL"/>
              </w:rPr>
              <w:t>„3)</w:t>
            </w:r>
            <w:r w:rsidRPr="00154288">
              <w:rPr>
                <w:rFonts w:ascii="Times New Roman" w:eastAsia="Times New Roman" w:hAnsi="Times New Roman" w:cs="Times New Roman"/>
                <w:bCs/>
                <w:sz w:val="20"/>
                <w:szCs w:val="20"/>
                <w:lang w:eastAsia="pl-PL"/>
              </w:rPr>
              <w:tab/>
              <w:t>wydano postanowienie o odstąpieniu od postępowania przymuszającego na podstawie art. 24 ust. 3 pkt 2 i 3 lub o jego umorzeniu na podstawie art. 24 ust. 4;”</w:t>
            </w:r>
            <w:r>
              <w:rPr>
                <w:rFonts w:ascii="Times New Roman" w:eastAsia="Times New Roman" w:hAnsi="Times New Roman" w:cs="Times New Roman"/>
                <w:bCs/>
                <w:sz w:val="20"/>
                <w:szCs w:val="20"/>
                <w:lang w:eastAsia="pl-PL"/>
              </w:rPr>
              <w:t>.</w:t>
            </w:r>
          </w:p>
        </w:tc>
      </w:tr>
      <w:tr w:rsidR="002A36F4" w:rsidRPr="005134B0" w14:paraId="574BBE83" w14:textId="77777777" w:rsidTr="00B241C8">
        <w:trPr>
          <w:jc w:val="center"/>
        </w:trPr>
        <w:tc>
          <w:tcPr>
            <w:tcW w:w="562" w:type="dxa"/>
          </w:tcPr>
          <w:p w14:paraId="1BF4904F" w14:textId="42FE1D7E" w:rsidR="002A36F4" w:rsidRPr="005134B0" w:rsidRDefault="002A36F4"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23.</w:t>
            </w:r>
          </w:p>
        </w:tc>
        <w:tc>
          <w:tcPr>
            <w:tcW w:w="1843" w:type="dxa"/>
            <w:vAlign w:val="center"/>
          </w:tcPr>
          <w:p w14:paraId="1050F228" w14:textId="6F02C33C" w:rsidR="002A36F4" w:rsidRPr="001E5FE3" w:rsidRDefault="002A36F4"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0C6698A4" w14:textId="52269986" w:rsidR="002A36F4" w:rsidRPr="001E5FE3" w:rsidRDefault="002A36F4" w:rsidP="00F43ABB">
            <w:pPr>
              <w:spacing w:before="120" w:after="120"/>
              <w:jc w:val="both"/>
              <w:rPr>
                <w:rFonts w:ascii="Times New Roman" w:hAnsi="Times New Roman" w:cs="Times New Roman"/>
                <w:bCs/>
                <w:sz w:val="20"/>
                <w:szCs w:val="20"/>
              </w:rPr>
            </w:pPr>
            <w:r w:rsidRPr="002A36F4">
              <w:rPr>
                <w:rFonts w:ascii="Times New Roman" w:hAnsi="Times New Roman" w:cs="Times New Roman"/>
                <w:bCs/>
                <w:sz w:val="20"/>
                <w:szCs w:val="20"/>
              </w:rPr>
              <w:t>art. 1 pkt 13 lit. c</w:t>
            </w:r>
            <w:r>
              <w:rPr>
                <w:rFonts w:ascii="Times New Roman" w:hAnsi="Times New Roman" w:cs="Times New Roman"/>
                <w:bCs/>
                <w:sz w:val="20"/>
                <w:szCs w:val="20"/>
              </w:rPr>
              <w:t xml:space="preserve"> (</w:t>
            </w:r>
            <w:r w:rsidRPr="002A36F4">
              <w:rPr>
                <w:rFonts w:ascii="Times New Roman" w:hAnsi="Times New Roman" w:cs="Times New Roman"/>
                <w:bCs/>
                <w:sz w:val="20"/>
                <w:szCs w:val="20"/>
              </w:rPr>
              <w:t>art. 24 ust. 3 pkt 1 u</w:t>
            </w:r>
            <w:r>
              <w:rPr>
                <w:rFonts w:ascii="Times New Roman" w:hAnsi="Times New Roman" w:cs="Times New Roman"/>
                <w:bCs/>
                <w:sz w:val="20"/>
                <w:szCs w:val="20"/>
              </w:rPr>
              <w:t xml:space="preserve">stawy o </w:t>
            </w:r>
            <w:r w:rsidRPr="002A36F4">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56FA7038" w14:textId="295BABA7" w:rsidR="002A36F4" w:rsidRPr="001E5FE3" w:rsidRDefault="002A36F4" w:rsidP="00ED4ED5">
            <w:pPr>
              <w:jc w:val="both"/>
              <w:rPr>
                <w:rFonts w:ascii="Times New Roman" w:eastAsia="Open Sans Light" w:hAnsi="Times New Roman" w:cs="Times New Roman"/>
                <w:bCs/>
                <w:sz w:val="20"/>
                <w:szCs w:val="20"/>
              </w:rPr>
            </w:pPr>
            <w:r w:rsidRPr="002A36F4">
              <w:rPr>
                <w:rFonts w:ascii="Times New Roman" w:eastAsia="Open Sans Light" w:hAnsi="Times New Roman" w:cs="Times New Roman"/>
                <w:bCs/>
                <w:sz w:val="20"/>
                <w:szCs w:val="20"/>
              </w:rPr>
              <w:t>W proponowanym art. 24 ust. 3 pkt 1 ustawy o KRS wprowadza się możliwość odstąpienia od postępowania przymuszającego w przypadku, gdy „wniosek o wpis do Rejestru lub dokumenty, których złożenie jest obowiązkowe zostały złożone (…)”. Ten fragment jest przede wszystkim odejściem od dotychczasowych zasad prowadzenia postępowań przymuszających, które na skutek stwierdzenia wykonania obowiązku były umarzane (na podstawie art. 355 k.p.c.), a nie kończone decyzją o „odstąpieniu od postępowania przymuszającego”. Ponadto, proponowane brzmienie przepisu skomplikuje jedną z przesłanek wszczęcia postępowania o rozwiązanie podmiotu bez likwidacji (por. art. 25a pkt 3 ustawy o KRS), gdyż z jednolicie dotychczas pojmowanej podstawy związanej z w/w decyzją o odstąpieniu należałoby po nowelizacji wyłączać te przypadki, które dotyczyłyby wykonania obowiązku rejestrowego. Nie sposób przecież przyjąć, że odstąpienie od postępowania przymuszającego związane z wykonaniem obowiązków rejestrowych miałoby skutkować wszczęciem postępowania o rozwiązanie podmiotu.</w:t>
            </w:r>
          </w:p>
        </w:tc>
        <w:tc>
          <w:tcPr>
            <w:tcW w:w="4076" w:type="dxa"/>
          </w:tcPr>
          <w:p w14:paraId="3B5CC608" w14:textId="77777777" w:rsidR="002A36F4" w:rsidRPr="002A36F4" w:rsidRDefault="002A36F4" w:rsidP="002A36F4">
            <w:pPr>
              <w:autoSpaceDE w:val="0"/>
              <w:autoSpaceDN w:val="0"/>
              <w:adjustRightInd w:val="0"/>
              <w:jc w:val="both"/>
              <w:rPr>
                <w:rFonts w:ascii="Times New Roman" w:eastAsia="Times New Roman" w:hAnsi="Times New Roman" w:cs="Times New Roman"/>
                <w:b/>
                <w:sz w:val="20"/>
                <w:szCs w:val="20"/>
                <w:lang w:eastAsia="pl-PL"/>
              </w:rPr>
            </w:pPr>
            <w:r w:rsidRPr="002A36F4">
              <w:rPr>
                <w:rFonts w:ascii="Times New Roman" w:eastAsia="Times New Roman" w:hAnsi="Times New Roman" w:cs="Times New Roman"/>
                <w:b/>
                <w:sz w:val="20"/>
                <w:szCs w:val="20"/>
                <w:lang w:eastAsia="pl-PL"/>
              </w:rPr>
              <w:t>Uwaga uwzględniona</w:t>
            </w:r>
          </w:p>
          <w:p w14:paraId="18CA7992" w14:textId="77777777" w:rsidR="002A36F4" w:rsidRDefault="002A36F4" w:rsidP="002A36F4">
            <w:pPr>
              <w:autoSpaceDE w:val="0"/>
              <w:autoSpaceDN w:val="0"/>
              <w:adjustRightInd w:val="0"/>
              <w:jc w:val="both"/>
              <w:rPr>
                <w:rFonts w:ascii="Times New Roman" w:eastAsia="Times New Roman" w:hAnsi="Times New Roman" w:cs="Times New Roman"/>
                <w:bCs/>
                <w:sz w:val="20"/>
                <w:szCs w:val="20"/>
                <w:lang w:eastAsia="pl-PL"/>
              </w:rPr>
            </w:pPr>
            <w:r w:rsidRPr="002A36F4">
              <w:rPr>
                <w:rFonts w:ascii="Times New Roman" w:eastAsia="Times New Roman" w:hAnsi="Times New Roman" w:cs="Times New Roman"/>
                <w:bCs/>
                <w:sz w:val="20"/>
                <w:szCs w:val="20"/>
                <w:lang w:eastAsia="pl-PL"/>
              </w:rPr>
              <w:t>Zaproponowano zmianę brzmienia art. 25a ust. 1 pkt 3</w:t>
            </w:r>
            <w:r w:rsidR="00154288">
              <w:rPr>
                <w:rFonts w:ascii="Times New Roman" w:eastAsia="Times New Roman" w:hAnsi="Times New Roman" w:cs="Times New Roman"/>
                <w:bCs/>
                <w:sz w:val="20"/>
                <w:szCs w:val="20"/>
                <w:lang w:eastAsia="pl-PL"/>
              </w:rPr>
              <w:t>:</w:t>
            </w:r>
          </w:p>
          <w:p w14:paraId="60AFE75D" w14:textId="2B659842" w:rsidR="00154288" w:rsidRPr="002A36F4" w:rsidRDefault="00154288" w:rsidP="002A36F4">
            <w:pPr>
              <w:autoSpaceDE w:val="0"/>
              <w:autoSpaceDN w:val="0"/>
              <w:adjustRightInd w:val="0"/>
              <w:jc w:val="both"/>
              <w:rPr>
                <w:rFonts w:ascii="Times New Roman" w:eastAsia="Times New Roman" w:hAnsi="Times New Roman" w:cs="Times New Roman"/>
                <w:bCs/>
                <w:sz w:val="20"/>
                <w:szCs w:val="20"/>
                <w:lang w:eastAsia="pl-PL"/>
              </w:rPr>
            </w:pPr>
            <w:r w:rsidRPr="00154288">
              <w:rPr>
                <w:rFonts w:ascii="Times New Roman" w:eastAsia="Times New Roman" w:hAnsi="Times New Roman" w:cs="Times New Roman"/>
                <w:bCs/>
                <w:sz w:val="20"/>
                <w:szCs w:val="20"/>
                <w:lang w:eastAsia="pl-PL"/>
              </w:rPr>
              <w:t>„3)</w:t>
            </w:r>
            <w:r w:rsidRPr="00154288">
              <w:rPr>
                <w:rFonts w:ascii="Times New Roman" w:eastAsia="Times New Roman" w:hAnsi="Times New Roman" w:cs="Times New Roman"/>
                <w:bCs/>
                <w:sz w:val="20"/>
                <w:szCs w:val="20"/>
                <w:lang w:eastAsia="pl-PL"/>
              </w:rPr>
              <w:tab/>
              <w:t>wydano postanowienie o odstąpieniu od postępowania przymuszającego na podstawie art. 24 ust. 3 pkt 2 i 3 lub o jego umorzeniu na podstawie art. 24 ust. 4;”</w:t>
            </w:r>
            <w:r>
              <w:rPr>
                <w:rFonts w:ascii="Times New Roman" w:eastAsia="Times New Roman" w:hAnsi="Times New Roman" w:cs="Times New Roman"/>
                <w:bCs/>
                <w:sz w:val="20"/>
                <w:szCs w:val="20"/>
                <w:lang w:eastAsia="pl-PL"/>
              </w:rPr>
              <w:t>.</w:t>
            </w:r>
          </w:p>
        </w:tc>
      </w:tr>
      <w:tr w:rsidR="00EF1DDB" w:rsidRPr="005134B0" w14:paraId="72A163EB" w14:textId="77777777" w:rsidTr="00B241C8">
        <w:trPr>
          <w:jc w:val="center"/>
        </w:trPr>
        <w:tc>
          <w:tcPr>
            <w:tcW w:w="562" w:type="dxa"/>
          </w:tcPr>
          <w:p w14:paraId="376903EA" w14:textId="4E846AF1" w:rsidR="00EF1DDB" w:rsidRDefault="00EF1DDB"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24.</w:t>
            </w:r>
          </w:p>
        </w:tc>
        <w:tc>
          <w:tcPr>
            <w:tcW w:w="1843" w:type="dxa"/>
            <w:vAlign w:val="center"/>
          </w:tcPr>
          <w:p w14:paraId="52C7EE5D" w14:textId="316B2AB3" w:rsidR="00EF1DDB" w:rsidRDefault="00EF1DDB"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Lublinie</w:t>
            </w:r>
          </w:p>
        </w:tc>
        <w:tc>
          <w:tcPr>
            <w:tcW w:w="1843" w:type="dxa"/>
            <w:vAlign w:val="center"/>
          </w:tcPr>
          <w:p w14:paraId="5B105521" w14:textId="180481F4" w:rsidR="00EF1DDB" w:rsidRPr="002A36F4" w:rsidRDefault="00EF1DDB" w:rsidP="00F43ABB">
            <w:pPr>
              <w:spacing w:before="120" w:after="120"/>
              <w:jc w:val="both"/>
              <w:rPr>
                <w:rFonts w:ascii="Times New Roman" w:hAnsi="Times New Roman" w:cs="Times New Roman"/>
                <w:bCs/>
                <w:sz w:val="20"/>
                <w:szCs w:val="20"/>
              </w:rPr>
            </w:pPr>
            <w:r w:rsidRPr="00EF1DDB">
              <w:rPr>
                <w:rFonts w:ascii="Times New Roman" w:hAnsi="Times New Roman" w:cs="Times New Roman"/>
                <w:bCs/>
                <w:sz w:val="20"/>
                <w:szCs w:val="20"/>
              </w:rPr>
              <w:t>art. 1 pkt 14</w:t>
            </w:r>
            <w:r>
              <w:rPr>
                <w:rFonts w:ascii="Times New Roman" w:hAnsi="Times New Roman" w:cs="Times New Roman"/>
                <w:bCs/>
                <w:sz w:val="20"/>
                <w:szCs w:val="20"/>
              </w:rPr>
              <w:t xml:space="preserve"> (</w:t>
            </w:r>
            <w:r w:rsidRPr="00EF1DDB">
              <w:rPr>
                <w:rFonts w:ascii="Times New Roman" w:hAnsi="Times New Roman" w:cs="Times New Roman"/>
                <w:bCs/>
                <w:sz w:val="20"/>
                <w:szCs w:val="20"/>
              </w:rPr>
              <w:t>art. 25a u</w:t>
            </w:r>
            <w:r>
              <w:rPr>
                <w:rFonts w:ascii="Times New Roman" w:hAnsi="Times New Roman" w:cs="Times New Roman"/>
                <w:bCs/>
                <w:sz w:val="20"/>
                <w:szCs w:val="20"/>
              </w:rPr>
              <w:t xml:space="preserve">stawa o </w:t>
            </w:r>
            <w:r w:rsidRPr="00EF1DDB">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0066A754" w14:textId="77777777" w:rsidR="00EF1DDB" w:rsidRPr="00EF1DDB"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t>W projektowanej zmianie art. 25a ustawy o KRS, zasadnym jest dokonanie modyfikacji również w ust. 1 pkt 3, zgodnie z którego aktualnym brzmieniem:</w:t>
            </w:r>
          </w:p>
          <w:p w14:paraId="7D2DF0A4" w14:textId="77777777" w:rsidR="00EF1DDB" w:rsidRPr="00EF1DDB"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t xml:space="preserve">„Sąd rejestrowy wszczyna z urzędu postępowanie o rozwiązanie podmiotu wpisanego do Rejestru bez przeprowadzania postępowania likwidacyjnego, w przypadku gdy: </w:t>
            </w:r>
          </w:p>
          <w:p w14:paraId="6675CD72" w14:textId="277A358D" w:rsidR="00EF1DDB" w:rsidRPr="00EF1DDB" w:rsidRDefault="00EF1DDB" w:rsidP="00EF1DDB">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3)</w:t>
            </w:r>
            <w:r w:rsidRPr="00EF1DDB">
              <w:rPr>
                <w:rFonts w:ascii="Times New Roman" w:eastAsia="Open Sans Light" w:hAnsi="Times New Roman" w:cs="Times New Roman"/>
                <w:bCs/>
                <w:sz w:val="20"/>
                <w:szCs w:val="20"/>
              </w:rPr>
              <w:t xml:space="preserve"> wydano postanowienie o odstąpieniu od postępowania przymuszającego lub jego umorzeniu;”.</w:t>
            </w:r>
          </w:p>
          <w:p w14:paraId="50577F08" w14:textId="77777777" w:rsidR="00EF1DDB" w:rsidRPr="00EF1DDB"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lastRenderedPageBreak/>
              <w:t>Przepis ten wymaga od sądu rejestrowego, aby w każdym przypadku odstąpienia od postępowania przymuszającego albo umorzenia postępowania przymuszającego, wszczynał z urzędu postępowanie o rozwiązanie podmiotu wpisanego do Rejestru bez przeprowadzania postępowania likwidacyjnego. Przepis ten wymaga ingerencji ustawodawcy, co potwierdzone jest w praktyce orzeczniczej sądów rejestrowych, ale co wynika też bezsprzecznie z głosów przedstawicieli doktryny i komentatorów.</w:t>
            </w:r>
          </w:p>
          <w:p w14:paraId="47B12FF8" w14:textId="77777777" w:rsidR="00EF1DDB" w:rsidRPr="00EF1DDB"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t>Z przepisu art. 25a ust. 1 pkt 3 powinno wynikać, że sąd rejestrowy ma wszcząć postępowanie o rozwiązanie podmiotu wpisanego do Rejestru bez przeprowadzania postępowania likwidacyjnego jedynie w tych przypadkach, w których odstąpienie od postępowania przymuszającego albo umorzenie postępowania przymuszającego następuje wskutek stwierdzenia przez sąd, że postępowanie przymuszające nie doprowadzi do skutku. To by korespondowało w pełni ze zmianami projektowanymi w obrębie postępowania przymuszającego, od którego sąd będzie mógł odstąpić po wstępnych czynnościach wyjaśniających, albo które sąd będzie mógł umorzyć, gdy po czynnościach wyjaśniających przejdzie do dalszych czynności już przymuszających podmiot. Zarówno odstąpienie od postępowania przymuszającego, jak i umorzenie postępowania przymuszającego może być efektem stwierdzenia, że podmiot jednak funkcjonuje prawidłowo w zakresie swoich obowiązków rejestrowych (także w wyniku skutecznie przeprowadzonego postępowania przymuszającego), a zatem takie przypadki odstąpienia i umorzenia postępowania przymuszającego powinny być wyłączone z art. 25a ust. 1 pkt 3 ustawy o KRS.</w:t>
            </w:r>
          </w:p>
          <w:p w14:paraId="738A23AB" w14:textId="77777777" w:rsidR="00EF1DDB" w:rsidRPr="00EF1DDB"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t xml:space="preserve">Jednocześnie też należałoby rozważyć wyłączenie z tego przepisu przypadków, w których sąd rejestrowy z wyprzedzeniem stwierdza na podstawie akt rejestrowych (zanim dojdzie do wszczęcia postępowania z art. 25a ustawy o KRS), że zachodzi przesłanka, o której mowa w art. 25d ust. 3 ustawy o KRS (podmiot prowadzi faktycznie działalność, ma zbywalny majątek, zachodzi inna istotna okoliczność), mimo że do odstąpienia od postępowania przymuszającego albo umorzenia postępowania przymuszającego dochodzi z tego względu, że nie doprowadzi ono do skutku. Praktyka orzecznicza dostarcza bowiem przykładów, kiedy na podmiot </w:t>
            </w:r>
            <w:r w:rsidRPr="00EF1DDB">
              <w:rPr>
                <w:rFonts w:ascii="Times New Roman" w:eastAsia="Open Sans Light" w:hAnsi="Times New Roman" w:cs="Times New Roman"/>
                <w:bCs/>
                <w:sz w:val="20"/>
                <w:szCs w:val="20"/>
              </w:rPr>
              <w:lastRenderedPageBreak/>
              <w:t>zostaje nałożona grzywna, podmiot tę grzywnę płaci nawet dobrowolnie albo jest ona skutecznie wyegzekwowana, a mimo wszystko podmiot taki nadal nie wykonuje obowiązków rejestrowych. Podmiot taki jednak prowadzi faktycznie działalność (np. odbiera korespondencję, nawet na nią odpowiada, uczestniczy w postępowaniach, w tym w egzekucyjnym, itd.), ma majątek (np. spłaca grzywny, grzywna jest egzekwowana), a zatem z góry widać, że zachodzą przesłanki, które i tak skutkują koniecznością umorzenia postępowania o rozwiązanie podmiotu wpisanego do Rejestru bez przeprowadzania postępowania likwidacyjnego.</w:t>
            </w:r>
          </w:p>
          <w:p w14:paraId="1C9EA9AF" w14:textId="15874A83" w:rsidR="00EF1DDB" w:rsidRPr="002A36F4" w:rsidRDefault="00EF1DDB" w:rsidP="00EF1DDB">
            <w:pPr>
              <w:jc w:val="both"/>
              <w:rPr>
                <w:rFonts w:ascii="Times New Roman" w:eastAsia="Open Sans Light" w:hAnsi="Times New Roman" w:cs="Times New Roman"/>
                <w:bCs/>
                <w:sz w:val="20"/>
                <w:szCs w:val="20"/>
              </w:rPr>
            </w:pPr>
            <w:r w:rsidRPr="00EF1DDB">
              <w:rPr>
                <w:rFonts w:ascii="Times New Roman" w:eastAsia="Open Sans Light" w:hAnsi="Times New Roman" w:cs="Times New Roman"/>
                <w:bCs/>
                <w:sz w:val="20"/>
                <w:szCs w:val="20"/>
              </w:rPr>
              <w:t>W aktualnym stanie prawnym sąd to postępowanie musiałby jednak najpierw wszcząć, podjąć określone czynności (w tym ogłosić o wszczęciu w Monitorze Sądowym i Gospodarczym), stwierdzić (chociaż już to jest wiadome przed wszczęciem tego postępowania o rozwiązanie bez likwidacji), że podmiot prowadzi faktycznie działalność, ma zbywalny majątek, a następnie w oparciu o te przesłanki umorzyć to postępowanie. Skoro zatem przesłanki te mogą wynikać z akt rejestrowych już na etapie postępowania przymuszającego, niecelowym i nieuzasadnionym jest wszczynanie postępowania o rozwiązanie podmiotu bez przeprowadzenia postępowania likwidacyjnego, gdyż z góry sąd wie, że to postępowanie będzie musiał umorzyć. W ten sposób dochodzi do sztucznego mnożenia postępowań, w których podejmowane są niecelowe czynności, z czym wiąże się strata czasu orzeczników i innych pracowników w sądach rejestrowych, czy nieuzasadnione obciążanie budżetu państwa kosztami.</w:t>
            </w:r>
          </w:p>
        </w:tc>
        <w:tc>
          <w:tcPr>
            <w:tcW w:w="4076" w:type="dxa"/>
          </w:tcPr>
          <w:p w14:paraId="27C3864E" w14:textId="77777777" w:rsidR="00EF1DDB" w:rsidRDefault="00EF1DDB" w:rsidP="002A36F4">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uwzględniona</w:t>
            </w:r>
          </w:p>
          <w:p w14:paraId="170B68AC" w14:textId="7538CD23" w:rsidR="000240A6" w:rsidRDefault="00EF1DDB" w:rsidP="00EF1DDB">
            <w:pPr>
              <w:autoSpaceDE w:val="0"/>
              <w:autoSpaceDN w:val="0"/>
              <w:adjustRightInd w:val="0"/>
              <w:jc w:val="both"/>
              <w:rPr>
                <w:rFonts w:ascii="Times New Roman" w:eastAsia="Times New Roman" w:hAnsi="Times New Roman" w:cs="Times New Roman"/>
                <w:bCs/>
                <w:sz w:val="20"/>
                <w:szCs w:val="20"/>
                <w:lang w:eastAsia="pl-PL"/>
              </w:rPr>
            </w:pPr>
            <w:r w:rsidRPr="00EF1DDB">
              <w:rPr>
                <w:rFonts w:ascii="Times New Roman" w:eastAsia="Times New Roman" w:hAnsi="Times New Roman" w:cs="Times New Roman"/>
                <w:bCs/>
                <w:sz w:val="20"/>
                <w:szCs w:val="20"/>
                <w:lang w:eastAsia="pl-PL"/>
              </w:rPr>
              <w:t xml:space="preserve">Zaproponowano zmianę art. 25a ust. 1 pkt 3 oraz zmianę art. 25a poprzez dodanie ust. </w:t>
            </w:r>
            <w:r w:rsidR="006D00D4">
              <w:rPr>
                <w:rFonts w:ascii="Times New Roman" w:eastAsia="Times New Roman" w:hAnsi="Times New Roman" w:cs="Times New Roman"/>
                <w:bCs/>
                <w:sz w:val="20"/>
                <w:szCs w:val="20"/>
                <w:lang w:eastAsia="pl-PL"/>
              </w:rPr>
              <w:t>3</w:t>
            </w:r>
            <w:r w:rsidRPr="00EF1DDB">
              <w:rPr>
                <w:rFonts w:ascii="Times New Roman" w:eastAsia="Times New Roman" w:hAnsi="Times New Roman" w:cs="Times New Roman"/>
                <w:bCs/>
                <w:sz w:val="20"/>
                <w:szCs w:val="20"/>
                <w:lang w:eastAsia="pl-PL"/>
              </w:rPr>
              <w:t xml:space="preserve"> w brzmieniu: </w:t>
            </w:r>
            <w:r w:rsidR="00154288" w:rsidRPr="00154288">
              <w:rPr>
                <w:rFonts w:ascii="Times New Roman" w:eastAsia="Times New Roman" w:hAnsi="Times New Roman" w:cs="Times New Roman"/>
                <w:bCs/>
                <w:sz w:val="20"/>
                <w:szCs w:val="20"/>
                <w:lang w:eastAsia="pl-PL"/>
              </w:rPr>
              <w:t xml:space="preserve">„3. W przypadkach wskazanych w ust. 1 pkt 3-5 sąd rejestrowy odstępuje od postępowania o rozwiązanie podmiotu bez przeprowadzania postępowania likwidacyjnego, jeżeli z danych zawartych w aktach rejestrowych wynika, że podmiot ten posiada zbywalny </w:t>
            </w:r>
            <w:r w:rsidR="00154288" w:rsidRPr="00154288">
              <w:rPr>
                <w:rFonts w:ascii="Times New Roman" w:eastAsia="Times New Roman" w:hAnsi="Times New Roman" w:cs="Times New Roman"/>
                <w:bCs/>
                <w:sz w:val="20"/>
                <w:szCs w:val="20"/>
                <w:lang w:eastAsia="pl-PL"/>
              </w:rPr>
              <w:lastRenderedPageBreak/>
              <w:t>majątek lub faktycznie prowadzi działalność. W postanowieniu o odstąpieniu od postępowania o rozwiązanie podmiotu bez przeprowadzania postępowania likwidacyjnego sąd rejestrowy wskazuje podstawę faktyczną odstąpienia. Postanowienie nie wymaga doręczenia i nie podlega zaskarżeniu.”</w:t>
            </w:r>
            <w:r w:rsidR="00154288">
              <w:rPr>
                <w:rFonts w:ascii="Times New Roman" w:eastAsia="Times New Roman" w:hAnsi="Times New Roman" w:cs="Times New Roman"/>
                <w:bCs/>
                <w:sz w:val="20"/>
                <w:szCs w:val="20"/>
                <w:lang w:eastAsia="pl-PL"/>
              </w:rPr>
              <w:t>.</w:t>
            </w:r>
          </w:p>
          <w:p w14:paraId="0DE0581F" w14:textId="194A45B9" w:rsidR="00EF1DDB" w:rsidRPr="00EF1DDB" w:rsidRDefault="00EF1DDB" w:rsidP="00EF1DDB">
            <w:pPr>
              <w:autoSpaceDE w:val="0"/>
              <w:autoSpaceDN w:val="0"/>
              <w:adjustRightInd w:val="0"/>
              <w:jc w:val="both"/>
              <w:rPr>
                <w:rFonts w:ascii="Times New Roman" w:eastAsia="Times New Roman" w:hAnsi="Times New Roman" w:cs="Times New Roman"/>
                <w:bCs/>
                <w:sz w:val="20"/>
                <w:szCs w:val="20"/>
                <w:lang w:eastAsia="pl-PL"/>
              </w:rPr>
            </w:pPr>
            <w:r w:rsidRPr="00EF1DDB">
              <w:rPr>
                <w:rFonts w:ascii="Times New Roman" w:eastAsia="Times New Roman" w:hAnsi="Times New Roman" w:cs="Times New Roman"/>
                <w:bCs/>
                <w:sz w:val="20"/>
                <w:szCs w:val="20"/>
                <w:lang w:eastAsia="pl-PL"/>
              </w:rPr>
              <w:t xml:space="preserve">Powyższa regulacja ma na celu odstąpienie od wszczęcia postępowania o rozwiązanie podmiotu w sytuacji gdy z dotychczasowych danych zawartych w aktach rejestrowych wynika, że podmiot faktycznie  prowadzi działalność (składa wnioski lub inne pisma) lub ma zbywalny majątek. Bez proponowanej zmiany sąd musiałby bezcelowo wszczynać takie postępowanie i </w:t>
            </w:r>
            <w:r>
              <w:rPr>
                <w:rFonts w:ascii="Times New Roman" w:eastAsia="Times New Roman" w:hAnsi="Times New Roman" w:cs="Times New Roman"/>
                <w:bCs/>
                <w:sz w:val="20"/>
                <w:szCs w:val="20"/>
                <w:lang w:eastAsia="pl-PL"/>
              </w:rPr>
              <w:t>dokonywać</w:t>
            </w:r>
            <w:r w:rsidRPr="00EF1DDB">
              <w:rPr>
                <w:rFonts w:ascii="Times New Roman" w:eastAsia="Times New Roman" w:hAnsi="Times New Roman" w:cs="Times New Roman"/>
                <w:bCs/>
                <w:sz w:val="20"/>
                <w:szCs w:val="20"/>
                <w:lang w:eastAsia="pl-PL"/>
              </w:rPr>
              <w:t xml:space="preserve"> wszystkich czynności z tym związanych mimo, że finalnie i tak takie postępowanie musiałby umorzyć na podstawie art. 25d ust. 3.  Skoro o przyczynach skutkujących koniecznością umorzenia sąd będzie wiedział przed wszczęciem postępowania, należy umożliwić sądowi odstąpienie od takiego postępowania. Tym rozwiązaniem nie należy obejmować przesłanek z art. 25a ust. 1 pkt 1 i 2, czyli przesłanek związanych z ustaleniami poczynionymi przez sąd upadłościowy. Oddalając wniosek o ogłoszenie upadłości, sąd musi ustalić, czy materiał zgromadzony w sprawie daje podstawę do rozwiązania podmiotu (dłużnika) wpisanego do Krajowego Rejestru Sądowego – bez przeprowadzenia postępowania likwidacyjnego. Przesłanką orzeczenia o rozwiązaniu spółki jest stwierdzenie, że dłużnik nie posiada zbywalnego majątku i zaprzestał prowadzenia działalności gospodarczej (art. 25a ust. 2 </w:t>
            </w:r>
            <w:proofErr w:type="spellStart"/>
            <w:r w:rsidRPr="00EF1DDB">
              <w:rPr>
                <w:rFonts w:ascii="Times New Roman" w:eastAsia="Times New Roman" w:hAnsi="Times New Roman" w:cs="Times New Roman"/>
                <w:bCs/>
                <w:sz w:val="20"/>
                <w:szCs w:val="20"/>
                <w:lang w:eastAsia="pl-PL"/>
              </w:rPr>
              <w:t>u.KRS</w:t>
            </w:r>
            <w:proofErr w:type="spellEnd"/>
            <w:r w:rsidRPr="00EF1DDB">
              <w:rPr>
                <w:rFonts w:ascii="Times New Roman" w:eastAsia="Times New Roman" w:hAnsi="Times New Roman" w:cs="Times New Roman"/>
                <w:bCs/>
                <w:sz w:val="20"/>
                <w:szCs w:val="20"/>
                <w:lang w:eastAsia="pl-PL"/>
              </w:rPr>
              <w:t xml:space="preserve">). Trzeba mieć jednak na względzie fakt, że ustalenia </w:t>
            </w:r>
            <w:r w:rsidRPr="00EF1DDB">
              <w:rPr>
                <w:rFonts w:ascii="Times New Roman" w:eastAsia="Times New Roman" w:hAnsi="Times New Roman" w:cs="Times New Roman"/>
                <w:bCs/>
                <w:sz w:val="20"/>
                <w:szCs w:val="20"/>
                <w:lang w:eastAsia="pl-PL"/>
              </w:rPr>
              <w:lastRenderedPageBreak/>
              <w:t>poczynione przez sąd, zmierzające do wniosku, że majątek dłużnika nie wystarcza na koszty postępowania, nie zawsze będzie oznaczać, że dłużnik nie dysponuje zbywalnym majątkiem. (patrz  P. Janda [w:] Prawo upadłościowe. Komentarz, wyd. III, Warszawa 2023, art. 13.)</w:t>
            </w:r>
          </w:p>
        </w:tc>
      </w:tr>
      <w:tr w:rsidR="00EF1DDB" w:rsidRPr="005134B0" w14:paraId="60547438" w14:textId="77777777" w:rsidTr="00B241C8">
        <w:trPr>
          <w:jc w:val="center"/>
        </w:trPr>
        <w:tc>
          <w:tcPr>
            <w:tcW w:w="562" w:type="dxa"/>
          </w:tcPr>
          <w:p w14:paraId="68EDA7CA" w14:textId="39086F14" w:rsidR="00EF1DDB" w:rsidRPr="005134B0" w:rsidRDefault="00803DF3"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25.</w:t>
            </w:r>
          </w:p>
        </w:tc>
        <w:tc>
          <w:tcPr>
            <w:tcW w:w="1843" w:type="dxa"/>
            <w:vAlign w:val="center"/>
          </w:tcPr>
          <w:p w14:paraId="004AF05D" w14:textId="2B1E7E71" w:rsidR="00EF1DDB" w:rsidRPr="001E5FE3" w:rsidRDefault="00803DF3"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55F3DC8D" w14:textId="30752BFC" w:rsidR="00EF1DDB" w:rsidRPr="001E5FE3" w:rsidRDefault="00803DF3" w:rsidP="00F43ABB">
            <w:pPr>
              <w:spacing w:before="120" w:after="120"/>
              <w:jc w:val="both"/>
              <w:rPr>
                <w:rFonts w:ascii="Times New Roman" w:hAnsi="Times New Roman" w:cs="Times New Roman"/>
                <w:bCs/>
                <w:sz w:val="20"/>
                <w:szCs w:val="20"/>
              </w:rPr>
            </w:pPr>
            <w:r w:rsidRPr="00803DF3">
              <w:rPr>
                <w:rFonts w:ascii="Times New Roman" w:hAnsi="Times New Roman" w:cs="Times New Roman"/>
                <w:bCs/>
                <w:sz w:val="20"/>
                <w:szCs w:val="20"/>
              </w:rPr>
              <w:t>art. 1 pkt 15</w:t>
            </w:r>
            <w:r>
              <w:rPr>
                <w:rFonts w:ascii="Times New Roman" w:hAnsi="Times New Roman" w:cs="Times New Roman"/>
                <w:bCs/>
                <w:sz w:val="20"/>
                <w:szCs w:val="20"/>
              </w:rPr>
              <w:t xml:space="preserve"> (</w:t>
            </w:r>
            <w:r w:rsidRPr="00803DF3">
              <w:rPr>
                <w:rFonts w:ascii="Times New Roman" w:hAnsi="Times New Roman" w:cs="Times New Roman"/>
                <w:bCs/>
                <w:sz w:val="20"/>
                <w:szCs w:val="20"/>
              </w:rPr>
              <w:t>art. 25b ust. 1a w zw. z art. 25b ust. 2 i 5 u</w:t>
            </w:r>
            <w:r w:rsidR="006535DE">
              <w:rPr>
                <w:rFonts w:ascii="Times New Roman" w:hAnsi="Times New Roman" w:cs="Times New Roman"/>
                <w:bCs/>
                <w:sz w:val="20"/>
                <w:szCs w:val="20"/>
              </w:rPr>
              <w:t xml:space="preserve">stawy o </w:t>
            </w:r>
            <w:r w:rsidRPr="00803DF3">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0760F2FB" w14:textId="6F9F1AA5" w:rsidR="00EF1DDB" w:rsidRPr="001E5FE3" w:rsidRDefault="00803DF3" w:rsidP="00ED4ED5">
            <w:pPr>
              <w:jc w:val="both"/>
              <w:rPr>
                <w:rFonts w:ascii="Times New Roman" w:eastAsia="Open Sans Light" w:hAnsi="Times New Roman" w:cs="Times New Roman"/>
                <w:bCs/>
                <w:sz w:val="20"/>
                <w:szCs w:val="20"/>
              </w:rPr>
            </w:pPr>
            <w:r w:rsidRPr="00803DF3">
              <w:rPr>
                <w:rFonts w:ascii="Times New Roman" w:eastAsia="Open Sans Light" w:hAnsi="Times New Roman" w:cs="Times New Roman"/>
                <w:bCs/>
                <w:sz w:val="20"/>
                <w:szCs w:val="20"/>
              </w:rPr>
              <w:t>Budzi wątpliwość zasadność wpisywania wzmianki do KRS o wszczęciu w/w postępowania (art. 25b ust. 1a ustawy o KRS) skoro równolegle ogłasza się o tym postępowaniu w Monitorze Sądowym i Gospodarczym (art. 25b ust. 2 i ust. 5).</w:t>
            </w:r>
          </w:p>
        </w:tc>
        <w:tc>
          <w:tcPr>
            <w:tcW w:w="4076" w:type="dxa"/>
          </w:tcPr>
          <w:p w14:paraId="3311A5FF" w14:textId="77777777" w:rsidR="00EF1DDB" w:rsidRDefault="00803DF3"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14:paraId="2D563C4F" w14:textId="70EED187" w:rsidR="00803DF3" w:rsidRPr="00803DF3" w:rsidRDefault="00803DF3" w:rsidP="001E5FE3">
            <w:pPr>
              <w:autoSpaceDE w:val="0"/>
              <w:autoSpaceDN w:val="0"/>
              <w:adjustRightInd w:val="0"/>
              <w:jc w:val="both"/>
              <w:rPr>
                <w:rFonts w:ascii="Times New Roman" w:eastAsia="Times New Roman" w:hAnsi="Times New Roman" w:cs="Times New Roman"/>
                <w:bCs/>
                <w:sz w:val="20"/>
                <w:szCs w:val="20"/>
                <w:lang w:eastAsia="pl-PL"/>
              </w:rPr>
            </w:pPr>
            <w:r w:rsidRPr="00803DF3">
              <w:rPr>
                <w:rFonts w:ascii="Times New Roman" w:eastAsia="Times New Roman" w:hAnsi="Times New Roman" w:cs="Times New Roman"/>
                <w:bCs/>
                <w:sz w:val="20"/>
                <w:szCs w:val="20"/>
                <w:lang w:eastAsia="pl-PL"/>
              </w:rPr>
              <w:t>Wzmianka w Rejestrze ma dodatkową funkcję informacyjną w tym ostrzegawczą. Jest łatwiej dostępna dla uczestników obrotu gospodarczego, w tym wierzycieli spółki. Wystarczy bowiem pobrać odpis z KRS, żeby się o niej dowiedzieć.</w:t>
            </w:r>
          </w:p>
        </w:tc>
      </w:tr>
      <w:tr w:rsidR="00584B80" w:rsidRPr="005134B0" w14:paraId="5C084A4E" w14:textId="77777777" w:rsidTr="00B241C8">
        <w:trPr>
          <w:jc w:val="center"/>
        </w:trPr>
        <w:tc>
          <w:tcPr>
            <w:tcW w:w="562" w:type="dxa"/>
          </w:tcPr>
          <w:p w14:paraId="0AD9A6D8" w14:textId="0B2D9874" w:rsidR="00584B80" w:rsidRPr="005134B0" w:rsidRDefault="006535DE"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26.</w:t>
            </w:r>
          </w:p>
        </w:tc>
        <w:tc>
          <w:tcPr>
            <w:tcW w:w="1843" w:type="dxa"/>
            <w:vAlign w:val="center"/>
          </w:tcPr>
          <w:p w14:paraId="5AE25DEC" w14:textId="7D40DD29" w:rsidR="00584B80" w:rsidRPr="001E5FE3" w:rsidRDefault="006535D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3939FC14" w14:textId="10452060" w:rsidR="00584B80" w:rsidRPr="001E5FE3" w:rsidRDefault="006535DE" w:rsidP="00F43ABB">
            <w:pPr>
              <w:spacing w:before="120" w:after="120"/>
              <w:jc w:val="both"/>
              <w:rPr>
                <w:rFonts w:ascii="Times New Roman" w:hAnsi="Times New Roman" w:cs="Times New Roman"/>
                <w:bCs/>
                <w:sz w:val="20"/>
                <w:szCs w:val="20"/>
              </w:rPr>
            </w:pPr>
            <w:r w:rsidRPr="006535DE">
              <w:rPr>
                <w:rFonts w:ascii="Times New Roman" w:hAnsi="Times New Roman" w:cs="Times New Roman"/>
                <w:bCs/>
                <w:sz w:val="20"/>
                <w:szCs w:val="20"/>
              </w:rPr>
              <w:t>art. 1 pkt 16</w:t>
            </w:r>
            <w:r>
              <w:rPr>
                <w:rFonts w:ascii="Times New Roman" w:hAnsi="Times New Roman" w:cs="Times New Roman"/>
                <w:bCs/>
                <w:sz w:val="20"/>
                <w:szCs w:val="20"/>
              </w:rPr>
              <w:t xml:space="preserve"> (</w:t>
            </w:r>
            <w:r w:rsidRPr="006535DE">
              <w:rPr>
                <w:rFonts w:ascii="Times New Roman" w:hAnsi="Times New Roman" w:cs="Times New Roman"/>
                <w:bCs/>
                <w:sz w:val="20"/>
                <w:szCs w:val="20"/>
              </w:rPr>
              <w:t>art. 25c u</w:t>
            </w:r>
            <w:r>
              <w:rPr>
                <w:rFonts w:ascii="Times New Roman" w:hAnsi="Times New Roman" w:cs="Times New Roman"/>
                <w:bCs/>
                <w:sz w:val="20"/>
                <w:szCs w:val="20"/>
              </w:rPr>
              <w:t xml:space="preserve">stawy o </w:t>
            </w:r>
            <w:r w:rsidRPr="006535DE">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008860D7" w14:textId="0C9D2D3B" w:rsidR="00584B80" w:rsidRPr="001E5FE3" w:rsidRDefault="006535DE" w:rsidP="00ED4ED5">
            <w:pPr>
              <w:jc w:val="both"/>
              <w:rPr>
                <w:rFonts w:ascii="Times New Roman" w:eastAsia="Open Sans Light" w:hAnsi="Times New Roman" w:cs="Times New Roman"/>
                <w:bCs/>
                <w:sz w:val="20"/>
                <w:szCs w:val="20"/>
              </w:rPr>
            </w:pPr>
            <w:r w:rsidRPr="006535DE">
              <w:rPr>
                <w:rFonts w:ascii="Times New Roman" w:eastAsia="Open Sans Light" w:hAnsi="Times New Roman" w:cs="Times New Roman"/>
                <w:bCs/>
                <w:sz w:val="20"/>
                <w:szCs w:val="20"/>
              </w:rPr>
              <w:t>Art.25c.1.2 – ustalenie terminów dla Urzędów do udzielania odpowiedzi dla Sądu albo wprowadzenie zapisu bez zbędnej zwłoki</w:t>
            </w:r>
          </w:p>
        </w:tc>
        <w:tc>
          <w:tcPr>
            <w:tcW w:w="4076" w:type="dxa"/>
          </w:tcPr>
          <w:p w14:paraId="34C0F025" w14:textId="19CACE20" w:rsidR="00584B80" w:rsidRDefault="006535DE"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Uwaga </w:t>
            </w:r>
            <w:r w:rsidR="00F3649F">
              <w:rPr>
                <w:rFonts w:ascii="Times New Roman" w:eastAsia="Times New Roman" w:hAnsi="Times New Roman" w:cs="Times New Roman"/>
                <w:b/>
                <w:sz w:val="20"/>
                <w:szCs w:val="20"/>
                <w:lang w:eastAsia="pl-PL"/>
              </w:rPr>
              <w:t>nieaktualna</w:t>
            </w:r>
          </w:p>
          <w:p w14:paraId="0AF7B5DB" w14:textId="07858817" w:rsidR="006535DE" w:rsidRPr="006535DE" w:rsidRDefault="00F3649F"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 xml:space="preserve">Przepis stanowi </w:t>
            </w:r>
            <w:proofErr w:type="spellStart"/>
            <w:r>
              <w:rPr>
                <w:rFonts w:ascii="Times New Roman" w:eastAsia="Times New Roman" w:hAnsi="Times New Roman" w:cs="Times New Roman"/>
                <w:bCs/>
                <w:sz w:val="20"/>
                <w:szCs w:val="20"/>
                <w:lang w:eastAsia="pl-PL"/>
              </w:rPr>
              <w:t>superfluum</w:t>
            </w:r>
            <w:proofErr w:type="spellEnd"/>
            <w:r>
              <w:rPr>
                <w:rFonts w:ascii="Times New Roman" w:eastAsia="Times New Roman" w:hAnsi="Times New Roman" w:cs="Times New Roman"/>
                <w:bCs/>
                <w:sz w:val="20"/>
                <w:szCs w:val="20"/>
                <w:lang w:eastAsia="pl-PL"/>
              </w:rPr>
              <w:t xml:space="preserve"> względem projektowanego art. 46b ust. 3 ustawy o Krajowej Administracji Skarbowej oraz </w:t>
            </w:r>
            <w:r>
              <w:rPr>
                <w:rFonts w:ascii="Times New Roman" w:eastAsia="Times New Roman" w:hAnsi="Times New Roman" w:cs="Times New Roman"/>
                <w:bCs/>
                <w:sz w:val="20"/>
                <w:szCs w:val="20"/>
                <w:lang w:eastAsia="pl-PL"/>
              </w:rPr>
              <w:lastRenderedPageBreak/>
              <w:t>obowiązującego art. 50 ust. 19 ustawy o systemie ubezpieczeń społecznych. W związku z tym projektodawca zrezygnował z przepisu. Zmiany zaproponowane przez projektodawcę zostały uwzględnione w art.</w:t>
            </w:r>
            <w:r w:rsidR="00196827">
              <w:rPr>
                <w:rFonts w:ascii="Times New Roman" w:eastAsia="Times New Roman" w:hAnsi="Times New Roman" w:cs="Times New Roman"/>
                <w:bCs/>
                <w:sz w:val="20"/>
                <w:szCs w:val="20"/>
                <w:lang w:eastAsia="pl-PL"/>
              </w:rPr>
              <w:t xml:space="preserve"> 50 ust. 19 ustawy o systemie ubezpieczeń społecznych oraz w art.</w:t>
            </w:r>
            <w:r>
              <w:rPr>
                <w:rFonts w:ascii="Times New Roman" w:eastAsia="Times New Roman" w:hAnsi="Times New Roman" w:cs="Times New Roman"/>
                <w:bCs/>
                <w:sz w:val="20"/>
                <w:szCs w:val="20"/>
                <w:lang w:eastAsia="pl-PL"/>
              </w:rPr>
              <w:t xml:space="preserve"> 46b ustawy o KAS.</w:t>
            </w:r>
          </w:p>
        </w:tc>
      </w:tr>
      <w:tr w:rsidR="005C0EEF" w:rsidRPr="005134B0" w14:paraId="36682033" w14:textId="77777777" w:rsidTr="00B241C8">
        <w:trPr>
          <w:jc w:val="center"/>
        </w:trPr>
        <w:tc>
          <w:tcPr>
            <w:tcW w:w="562" w:type="dxa"/>
          </w:tcPr>
          <w:p w14:paraId="1CF02D2D" w14:textId="1C150766" w:rsidR="005C0EEF" w:rsidRPr="005134B0" w:rsidRDefault="005C0EEF"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27.</w:t>
            </w:r>
          </w:p>
        </w:tc>
        <w:tc>
          <w:tcPr>
            <w:tcW w:w="1843" w:type="dxa"/>
            <w:vAlign w:val="center"/>
          </w:tcPr>
          <w:p w14:paraId="4501DC22" w14:textId="36E1EE2F" w:rsidR="005C0EEF" w:rsidRPr="001E5FE3" w:rsidRDefault="005C0EE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PUODO</w:t>
            </w:r>
          </w:p>
        </w:tc>
        <w:tc>
          <w:tcPr>
            <w:tcW w:w="1843" w:type="dxa"/>
            <w:vAlign w:val="center"/>
          </w:tcPr>
          <w:p w14:paraId="7366D472" w14:textId="1957EB37" w:rsidR="005C0EEF" w:rsidRPr="001E5FE3" w:rsidRDefault="005C0EEF" w:rsidP="00F43ABB">
            <w:pPr>
              <w:spacing w:before="120" w:after="120"/>
              <w:jc w:val="both"/>
              <w:rPr>
                <w:rFonts w:ascii="Times New Roman" w:hAnsi="Times New Roman" w:cs="Times New Roman"/>
                <w:bCs/>
                <w:sz w:val="20"/>
                <w:szCs w:val="20"/>
              </w:rPr>
            </w:pPr>
            <w:r w:rsidRPr="005C0EEF">
              <w:rPr>
                <w:rFonts w:ascii="Times New Roman" w:hAnsi="Times New Roman" w:cs="Times New Roman"/>
                <w:bCs/>
                <w:sz w:val="20"/>
                <w:szCs w:val="20"/>
              </w:rPr>
              <w:t>art. 1 pkt 16</w:t>
            </w:r>
            <w:r>
              <w:rPr>
                <w:rFonts w:ascii="Times New Roman" w:hAnsi="Times New Roman" w:cs="Times New Roman"/>
                <w:bCs/>
                <w:sz w:val="20"/>
                <w:szCs w:val="20"/>
              </w:rPr>
              <w:t xml:space="preserve"> (</w:t>
            </w:r>
            <w:r w:rsidRPr="005C0EEF">
              <w:rPr>
                <w:rFonts w:ascii="Times New Roman" w:hAnsi="Times New Roman" w:cs="Times New Roman"/>
                <w:bCs/>
                <w:sz w:val="20"/>
                <w:szCs w:val="20"/>
              </w:rPr>
              <w:t>art. 25c ust. 1 pkt 2</w:t>
            </w:r>
            <w:r>
              <w:rPr>
                <w:rFonts w:ascii="Times New Roman" w:hAnsi="Times New Roman" w:cs="Times New Roman"/>
                <w:bCs/>
                <w:sz w:val="20"/>
                <w:szCs w:val="20"/>
              </w:rPr>
              <w:t>)</w:t>
            </w:r>
          </w:p>
        </w:tc>
        <w:tc>
          <w:tcPr>
            <w:tcW w:w="5670" w:type="dxa"/>
            <w:vAlign w:val="center"/>
          </w:tcPr>
          <w:p w14:paraId="2C83AA15" w14:textId="51C27716" w:rsidR="005C0EEF" w:rsidRPr="005C0EEF" w:rsidRDefault="005C0EEF" w:rsidP="005C0EEF">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B</w:t>
            </w:r>
            <w:r w:rsidRPr="005C0EEF">
              <w:rPr>
                <w:rFonts w:ascii="Times New Roman" w:eastAsia="Open Sans Light" w:hAnsi="Times New Roman" w:cs="Times New Roman"/>
                <w:bCs/>
                <w:sz w:val="20"/>
                <w:szCs w:val="20"/>
              </w:rPr>
              <w:t xml:space="preserve">udzi wątpliwości, ponieważ nie określa trybu przekazywanych informacji pomiędzy rejestrami za pośrednictwem systemu teleinformatycznego. W ocenie organu nadzorczego stosowanie automatycznej wymiany danych bez faktycznego wprowadzenia gwarancji kontroli stosowania zasad wynikających z rozporządzenia 2016/679 nie zapewni rozliczalności (art. 5 ust. 2 rozporządzenia 2016/679), w tym weryfikacji przez administratora m.in. faktycznych celów, dla których dane będą pozyskiwane. Istotne jest także rozważenie przez projektodawcę </w:t>
            </w:r>
            <w:proofErr w:type="spellStart"/>
            <w:r w:rsidRPr="005C0EEF">
              <w:rPr>
                <w:rFonts w:ascii="Times New Roman" w:eastAsia="Open Sans Light" w:hAnsi="Times New Roman" w:cs="Times New Roman"/>
                <w:bCs/>
                <w:sz w:val="20"/>
                <w:szCs w:val="20"/>
              </w:rPr>
              <w:t>ryzyk</w:t>
            </w:r>
            <w:proofErr w:type="spellEnd"/>
            <w:r w:rsidRPr="005C0EEF">
              <w:rPr>
                <w:rFonts w:ascii="Times New Roman" w:eastAsia="Open Sans Light" w:hAnsi="Times New Roman" w:cs="Times New Roman"/>
                <w:bCs/>
                <w:sz w:val="20"/>
                <w:szCs w:val="20"/>
              </w:rPr>
              <w:t xml:space="preserve"> związanych z przekazywaniem danych pomiędzy rejestrami publicznymi. Zgodnie z motywem 31 rozporządzenia 2016/679 zdanie drugie w brzmieniu: „żądanie ujawnienia danych osobowych, z którym występują [takie] organy publiczne, powinno zawsze mieć formę pisemną, być uzasadnione, mieć charakter wyjątkowy, nie powinno dotyczyć całego zbioru danych ani prowadzić do połączenia zbiorów danych”. Przetwarzając dane osobowe takie organy powinny przestrzegać mających zastosowanie i wiążących je przepisów o ochronie danych, zgodnie z wyznaczonymi im celami przetwarzania. W kontekście łączenia baz danych warto wskazać również na wyrok TSUE z 1 października 2015 r. w sprawie C-201/14 </w:t>
            </w:r>
            <w:proofErr w:type="spellStart"/>
            <w:r w:rsidRPr="005C0EEF">
              <w:rPr>
                <w:rFonts w:ascii="Times New Roman" w:eastAsia="Open Sans Light" w:hAnsi="Times New Roman" w:cs="Times New Roman"/>
                <w:bCs/>
                <w:sz w:val="20"/>
                <w:szCs w:val="20"/>
              </w:rPr>
              <w:t>Smaranda</w:t>
            </w:r>
            <w:proofErr w:type="spellEnd"/>
            <w:r w:rsidRPr="005C0EEF">
              <w:rPr>
                <w:rFonts w:ascii="Times New Roman" w:eastAsia="Open Sans Light" w:hAnsi="Times New Roman" w:cs="Times New Roman"/>
                <w:bCs/>
                <w:sz w:val="20"/>
                <w:szCs w:val="20"/>
              </w:rPr>
              <w:t xml:space="preserve"> Bara i in., z którego treści wynika, że odrębne organy w ramach administracji publicznej należy traktować jako odrębnych administratorów z własnymi przesłankami, co w konsekwencji oznacza, że organ, któremu przekazuje się dane osobowe jest ich odbiorcą. W tym miejscu wskazać również należy na wyrok z dnia 22 listopada 2022 r. w sprawie </w:t>
            </w:r>
            <w:proofErr w:type="spellStart"/>
            <w:r w:rsidRPr="005C0EEF">
              <w:rPr>
                <w:rFonts w:ascii="Times New Roman" w:eastAsia="Open Sans Light" w:hAnsi="Times New Roman" w:cs="Times New Roman"/>
                <w:bCs/>
                <w:sz w:val="20"/>
                <w:szCs w:val="20"/>
              </w:rPr>
              <w:t>Luxembourg</w:t>
            </w:r>
            <w:proofErr w:type="spellEnd"/>
            <w:r w:rsidRPr="005C0EEF">
              <w:rPr>
                <w:rFonts w:ascii="Times New Roman" w:eastAsia="Open Sans Light" w:hAnsi="Times New Roman" w:cs="Times New Roman"/>
                <w:bCs/>
                <w:sz w:val="20"/>
                <w:szCs w:val="20"/>
              </w:rPr>
              <w:t xml:space="preserve"> Business </w:t>
            </w:r>
            <w:proofErr w:type="spellStart"/>
            <w:r w:rsidRPr="005C0EEF">
              <w:rPr>
                <w:rFonts w:ascii="Times New Roman" w:eastAsia="Open Sans Light" w:hAnsi="Times New Roman" w:cs="Times New Roman"/>
                <w:bCs/>
                <w:sz w:val="20"/>
                <w:szCs w:val="20"/>
              </w:rPr>
              <w:t>Registers</w:t>
            </w:r>
            <w:proofErr w:type="spellEnd"/>
            <w:r w:rsidRPr="005C0EEF">
              <w:rPr>
                <w:rFonts w:ascii="Times New Roman" w:eastAsia="Open Sans Light" w:hAnsi="Times New Roman" w:cs="Times New Roman"/>
                <w:bCs/>
                <w:sz w:val="20"/>
                <w:szCs w:val="20"/>
              </w:rPr>
              <w:t xml:space="preserve"> dotyczący rejestrów beneficjentów rzeczywistych prowadzonych przez państwa członkowskie, w tym Polskę. TSUE wskazał, że: „należy zbadać, po pierwsze, czy publiczny dostęp do informacji [w tej sprawie o beneficjentach rzeczywistych] jest odpowiedni do realizacji </w:t>
            </w:r>
            <w:r w:rsidRPr="005C0EEF">
              <w:rPr>
                <w:rFonts w:ascii="Times New Roman" w:eastAsia="Open Sans Light" w:hAnsi="Times New Roman" w:cs="Times New Roman"/>
                <w:bCs/>
                <w:sz w:val="20"/>
                <w:szCs w:val="20"/>
              </w:rPr>
              <w:lastRenderedPageBreak/>
              <w:t xml:space="preserve">zamierzonego celu leżącego w interesie ogólnym. Po drugie, czy wynikająca z takiego dostępu ingerencja w prawa zagwarantowane w art. 7 i 8 karty [Karty praw podstawowych UE] jest ograniczona do tego, co bezwzględnie konieczne, w tym znaczeniu, że cel ten nie mógłby zostać racjonalnie osiągnięty w sposób równie skuteczny za pomocą innych środków w mniejszym stopniu naruszających te prawa podstawowe zainteresowanych osób, a po trzecie, czy ingerencja ta nie jest nieproporcjonalna w stosunku do tego celu, co oznacza między innymi wyważenie znaczenia celu i wagi tej ingerencji” (pkt 70). Bez wątpienia konieczne jest przyjmowanie rozwiązań z zachowaniem prywatności i autonomii informacyjnej jednostki. Osiągnięcia takiego balansu jest wymagane zgodnie z art. 31 ust. 3 Konstytucji RP4. Natomiast projektowany art. 25c ust. 1 pkt 2 nie określając trybu przekazywanych informacji (w tym danych osobowych) nie zapewnia powyższego. </w:t>
            </w:r>
          </w:p>
          <w:p w14:paraId="5220BCAC" w14:textId="77777777" w:rsidR="005C0EEF" w:rsidRPr="005C0EEF" w:rsidRDefault="005C0EEF" w:rsidP="005C0EEF">
            <w:pPr>
              <w:jc w:val="both"/>
              <w:rPr>
                <w:rFonts w:ascii="Times New Roman" w:eastAsia="Open Sans Light" w:hAnsi="Times New Roman" w:cs="Times New Roman"/>
                <w:bCs/>
                <w:sz w:val="20"/>
                <w:szCs w:val="20"/>
              </w:rPr>
            </w:pPr>
            <w:r w:rsidRPr="005C0EEF">
              <w:rPr>
                <w:rFonts w:ascii="Times New Roman" w:eastAsia="Open Sans Light" w:hAnsi="Times New Roman" w:cs="Times New Roman"/>
                <w:bCs/>
                <w:sz w:val="20"/>
                <w:szCs w:val="20"/>
              </w:rPr>
              <w:t>Podkreślenia wymaga, że organ prowadzący rejestr publiczny, w którym przetwarzane są dane osobowe powinien zapewniać bezpieczeństwo, autentyczność, rozliczalność, poufność,  niezawodność oraz niezaprzeczalność przetwarzanych w nim danych. Wszystkie te elementy powinny być uwzględnione w przepisach ustawy. Konieczne jest stałe respektowanie zasad przetwarzania, w tym ochrony danych osobowych i prywatności na każdym etapie tworzenia oraz istnienia, funkcjonowania technologii obejmującej ich przetwarzanie, zwłaszcza jeśli chodzi o rejestry publiczne, zawierające ogromne ilości danych.</w:t>
            </w:r>
          </w:p>
          <w:p w14:paraId="4CF2F28B" w14:textId="77777777" w:rsidR="005C0EEF" w:rsidRPr="005C0EEF" w:rsidRDefault="005C0EEF" w:rsidP="005C0EEF">
            <w:pPr>
              <w:jc w:val="both"/>
              <w:rPr>
                <w:rFonts w:ascii="Times New Roman" w:eastAsia="Open Sans Light" w:hAnsi="Times New Roman" w:cs="Times New Roman"/>
                <w:bCs/>
                <w:sz w:val="20"/>
                <w:szCs w:val="20"/>
              </w:rPr>
            </w:pPr>
            <w:r w:rsidRPr="005C0EEF">
              <w:rPr>
                <w:rFonts w:ascii="Times New Roman" w:eastAsia="Open Sans Light" w:hAnsi="Times New Roman" w:cs="Times New Roman"/>
                <w:bCs/>
                <w:sz w:val="20"/>
                <w:szCs w:val="20"/>
              </w:rPr>
              <w:t xml:space="preserve">Aspekt ten jest niezwykle istotny także w kontekście zapewnienia bezpieczeństwa publicznego – poszanowanie praw podstawowych, w tym prawa do ochrony danych osobowych jest gwarantem zapewnienia takiego bezpieczeństwa. Konieczne jest bowiem zapewnienie integralności i poufności – bezpieczeństwa przetwarzanych na ogromną skalę danych w celu zgodności z zasadą przejrzystości (zabezpieczenie procesów przed nieautoryzowanym dostępem, zabezpieczenie serwerów z kontrolą dostępu i szyfrowaniem, kontrola nad automatyzacją procesu, bieżący nadzór, zapewnienie monitorowania i logowania operacji, zabezpieczenie skryptów, szyfrowanie plików pośrednich, nieautoryzowany dostęp do środowisk przetwarzających (np. katalogi sieciowe, serwery). </w:t>
            </w:r>
            <w:r w:rsidRPr="005C0EEF">
              <w:rPr>
                <w:rFonts w:ascii="Times New Roman" w:eastAsia="Open Sans Light" w:hAnsi="Times New Roman" w:cs="Times New Roman"/>
                <w:bCs/>
                <w:sz w:val="20"/>
                <w:szCs w:val="20"/>
              </w:rPr>
              <w:lastRenderedPageBreak/>
              <w:t>Zabezpieczenia zapewniające bezpieczeństwo przetwarzanych danych powinno być (w wykonaniu stosowanych przepisów rozporządzenia 2016/679 i innych dotyczących przetwarzania danych osobowych) realnie zapewnione począwszy od rozpoczęcia po zakończenie przetwarzania danych osobowych. Zakładanie kont w systemie teleinformatycznym powinno odbywać się z wykorzystaniem silnego uwierzytelniania a wszystkie operacje/działania administratora powinny być rejestrowane w systemie w celu zapewnienia rozliczalności i bezpieczeństwa.</w:t>
            </w:r>
          </w:p>
          <w:p w14:paraId="1F4F9318" w14:textId="77777777" w:rsidR="005C0EEF" w:rsidRPr="005C0EEF" w:rsidRDefault="005C0EEF" w:rsidP="005C0EEF">
            <w:pPr>
              <w:jc w:val="both"/>
              <w:rPr>
                <w:rFonts w:ascii="Times New Roman" w:eastAsia="Open Sans Light" w:hAnsi="Times New Roman" w:cs="Times New Roman"/>
                <w:bCs/>
                <w:sz w:val="20"/>
                <w:szCs w:val="20"/>
              </w:rPr>
            </w:pPr>
            <w:r w:rsidRPr="005C0EEF">
              <w:rPr>
                <w:rFonts w:ascii="Times New Roman" w:eastAsia="Open Sans Light" w:hAnsi="Times New Roman" w:cs="Times New Roman"/>
                <w:bCs/>
                <w:sz w:val="20"/>
                <w:szCs w:val="20"/>
              </w:rPr>
              <w:t>Mając na względzie charakter proponowanych rozwiązań prawnych i projektowanych zmian związanych m.in. z deregulacją przepisów dotyczących funkcjonowania Krajowego Rejestru Sądowego zwrócić uwagę należy na konieczność przeprowadzenia testu prywatności w procesie tworzenia prawa, w tym oceny skutków dla ochrony danych – art. 25 ust. 1 rozporządzenia 2016/679, tj. przy określaniu sposobów przetwarzania, jak i art. 35 (w szczególności ust. 1 i ust. 10), tj. w związku z przyjmowaniem podstawy prawnej przetwarzania. Konsekwencją takiej analizy ryzyka powinno być kompleksowe odzwierciedlenie projektowanych zmian w obowiązującym porządku prawnym z uwzględnieniem zasad przetwarzania danych osobowych wynikających z  rozporządzenia 2016/679. Z uwagi na brak przeprowadzenia oceny skutków regulacji dla praw i wolności osób fizycznych – która pozwoliłaby ustalić jaki wpływ ma przestawiona regulacja na prawa osób fizycznych – nie sposób przyjąć, aby zaproponowany model przetwarzania danych, można było uznać za niezbędny i konieczny (art. 5 ust. 1 lit. c w zw. z art. 6 ust. 3 rozporządzenia 2016/679). Jednocześnie przedstawione rozwiązanie jest trudne do pogodzenia z zasadą rozliczalności (art. 5 ust. 2 rozporządzenia 2016/679), zgodnie z którą administrator jest zobowiązany do wykazania przestrzegania przepisów dotyczących przetwarzania danych osobowych.</w:t>
            </w:r>
          </w:p>
          <w:p w14:paraId="4AF12049" w14:textId="4ACAB5F7" w:rsidR="005C0EEF" w:rsidRPr="001E5FE3" w:rsidRDefault="005C0EEF" w:rsidP="005C0EEF">
            <w:pPr>
              <w:jc w:val="both"/>
              <w:rPr>
                <w:rFonts w:ascii="Times New Roman" w:eastAsia="Open Sans Light" w:hAnsi="Times New Roman" w:cs="Times New Roman"/>
                <w:bCs/>
                <w:sz w:val="20"/>
                <w:szCs w:val="20"/>
              </w:rPr>
            </w:pPr>
            <w:r w:rsidRPr="005C0EEF">
              <w:rPr>
                <w:rFonts w:ascii="Times New Roman" w:eastAsia="Open Sans Light" w:hAnsi="Times New Roman" w:cs="Times New Roman"/>
                <w:bCs/>
                <w:sz w:val="20"/>
                <w:szCs w:val="20"/>
              </w:rPr>
              <w:t xml:space="preserve">Przeprowadzenie testu pozwoliłoby na szczegółowe rozeznanie </w:t>
            </w:r>
            <w:proofErr w:type="spellStart"/>
            <w:r w:rsidRPr="005C0EEF">
              <w:rPr>
                <w:rFonts w:ascii="Times New Roman" w:eastAsia="Open Sans Light" w:hAnsi="Times New Roman" w:cs="Times New Roman"/>
                <w:bCs/>
                <w:sz w:val="20"/>
                <w:szCs w:val="20"/>
              </w:rPr>
              <w:t>ryzyk</w:t>
            </w:r>
            <w:proofErr w:type="spellEnd"/>
            <w:r w:rsidRPr="005C0EEF">
              <w:rPr>
                <w:rFonts w:ascii="Times New Roman" w:eastAsia="Open Sans Light" w:hAnsi="Times New Roman" w:cs="Times New Roman"/>
                <w:bCs/>
                <w:sz w:val="20"/>
                <w:szCs w:val="20"/>
              </w:rPr>
              <w:t xml:space="preserve"> towarzyszących przetwarzaniu dla praw i wolności podmiotów danych oraz na wprowadzenie gwarancji te ryzyka eliminujące.</w:t>
            </w:r>
          </w:p>
        </w:tc>
        <w:tc>
          <w:tcPr>
            <w:tcW w:w="4076" w:type="dxa"/>
          </w:tcPr>
          <w:p w14:paraId="1EC4CB21" w14:textId="77777777" w:rsidR="005C0EEF" w:rsidRDefault="005C0EEF"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nieuwzględniona</w:t>
            </w:r>
          </w:p>
          <w:p w14:paraId="1F706890" w14:textId="61DE234D" w:rsidR="005C0EEF" w:rsidRPr="005C0EEF" w:rsidRDefault="005C0EEF" w:rsidP="001E5FE3">
            <w:pPr>
              <w:autoSpaceDE w:val="0"/>
              <w:autoSpaceDN w:val="0"/>
              <w:adjustRightInd w:val="0"/>
              <w:jc w:val="both"/>
              <w:rPr>
                <w:rFonts w:ascii="Times New Roman" w:eastAsia="Times New Roman" w:hAnsi="Times New Roman" w:cs="Times New Roman"/>
                <w:bCs/>
                <w:sz w:val="20"/>
                <w:szCs w:val="20"/>
                <w:lang w:eastAsia="pl-PL"/>
              </w:rPr>
            </w:pPr>
            <w:r w:rsidRPr="005C0EEF">
              <w:rPr>
                <w:rFonts w:ascii="Times New Roman" w:eastAsia="Times New Roman" w:hAnsi="Times New Roman" w:cs="Times New Roman"/>
                <w:bCs/>
                <w:sz w:val="20"/>
                <w:szCs w:val="20"/>
                <w:lang w:eastAsia="pl-PL"/>
              </w:rPr>
              <w:t>Pozyskiwane informacje, mają na celu ustalenie czy podmiot wpisany do Krajowego Rejestru Sądowego posiada zbywalny majątek lub prowadzi działalność. Informacje te nie dotyczą danych osób fizycznych lecz podmiotów wpisanych w KRS. Pozyskane informacje nie będą też przekazywane między rejestrami. Będzie wskazany sąd, który występuje z zapytaniem o te informacje, również tylko ten sąd  otrzymuje odpowiedź na to zapytanie. Wskazany będzie także numer sprawy (sygnatura akt) w związku z którą wystąpiono o ww. informacje (co zapewni rozliczalność).</w:t>
            </w:r>
          </w:p>
        </w:tc>
      </w:tr>
      <w:tr w:rsidR="00C263DF" w:rsidRPr="005134B0" w14:paraId="36A134FD" w14:textId="77777777" w:rsidTr="00B241C8">
        <w:trPr>
          <w:jc w:val="center"/>
        </w:trPr>
        <w:tc>
          <w:tcPr>
            <w:tcW w:w="562" w:type="dxa"/>
          </w:tcPr>
          <w:p w14:paraId="2DD8C58C" w14:textId="20D56B31" w:rsidR="00C263DF" w:rsidRDefault="00CA0EC4"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28.</w:t>
            </w:r>
          </w:p>
        </w:tc>
        <w:tc>
          <w:tcPr>
            <w:tcW w:w="1843" w:type="dxa"/>
            <w:vAlign w:val="center"/>
          </w:tcPr>
          <w:p w14:paraId="701F4613" w14:textId="28DD005A" w:rsidR="00C263DF" w:rsidRDefault="00CA0EC4"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7AD04C45" w14:textId="058E8D8E" w:rsidR="00C263DF" w:rsidRPr="005C0EEF" w:rsidRDefault="00CA0EC4" w:rsidP="00F43ABB">
            <w:pPr>
              <w:spacing w:before="120" w:after="120"/>
              <w:jc w:val="both"/>
              <w:rPr>
                <w:rFonts w:ascii="Times New Roman" w:hAnsi="Times New Roman" w:cs="Times New Roman"/>
                <w:bCs/>
                <w:sz w:val="20"/>
                <w:szCs w:val="20"/>
              </w:rPr>
            </w:pPr>
            <w:r w:rsidRPr="00CA0EC4">
              <w:rPr>
                <w:rFonts w:ascii="Times New Roman" w:hAnsi="Times New Roman" w:cs="Times New Roman"/>
                <w:bCs/>
                <w:sz w:val="20"/>
                <w:szCs w:val="20"/>
              </w:rPr>
              <w:t>art. 1 pkt 17</w:t>
            </w:r>
            <w:r>
              <w:rPr>
                <w:rFonts w:ascii="Times New Roman" w:hAnsi="Times New Roman" w:cs="Times New Roman"/>
                <w:bCs/>
                <w:sz w:val="20"/>
                <w:szCs w:val="20"/>
              </w:rPr>
              <w:t xml:space="preserve"> (</w:t>
            </w:r>
            <w:r w:rsidRPr="00CA0EC4">
              <w:rPr>
                <w:rFonts w:ascii="Times New Roman" w:hAnsi="Times New Roman" w:cs="Times New Roman"/>
                <w:bCs/>
                <w:sz w:val="20"/>
                <w:szCs w:val="20"/>
              </w:rPr>
              <w:t>dodanie art. 25ca u</w:t>
            </w:r>
            <w:r w:rsidR="0077583A">
              <w:rPr>
                <w:rFonts w:ascii="Times New Roman" w:hAnsi="Times New Roman" w:cs="Times New Roman"/>
                <w:bCs/>
                <w:sz w:val="20"/>
                <w:szCs w:val="20"/>
              </w:rPr>
              <w:t xml:space="preserve">stawy o </w:t>
            </w:r>
            <w:r w:rsidRPr="00CA0EC4">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240AFF8F" w14:textId="4CF8FC73" w:rsidR="00C263DF" w:rsidRDefault="00CA0EC4" w:rsidP="005C0EEF">
            <w:pPr>
              <w:jc w:val="both"/>
              <w:rPr>
                <w:rFonts w:ascii="Times New Roman" w:eastAsia="Open Sans Light" w:hAnsi="Times New Roman" w:cs="Times New Roman"/>
                <w:bCs/>
                <w:sz w:val="20"/>
                <w:szCs w:val="20"/>
              </w:rPr>
            </w:pPr>
            <w:r w:rsidRPr="00CA0EC4">
              <w:rPr>
                <w:rFonts w:ascii="Times New Roman" w:eastAsia="Open Sans Light" w:hAnsi="Times New Roman" w:cs="Times New Roman"/>
                <w:bCs/>
                <w:sz w:val="20"/>
                <w:szCs w:val="20"/>
              </w:rPr>
              <w:t>Art. 25ca – termin nie 3 miesięcy tylko 2 miesięcy – przyspieszenie postępowania</w:t>
            </w:r>
          </w:p>
        </w:tc>
        <w:tc>
          <w:tcPr>
            <w:tcW w:w="4076" w:type="dxa"/>
          </w:tcPr>
          <w:p w14:paraId="0771A806" w14:textId="77777777" w:rsidR="00CA0EC4" w:rsidRDefault="00CA0EC4"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uwzględniona</w:t>
            </w:r>
          </w:p>
          <w:p w14:paraId="54FADA9A" w14:textId="1284C6EC" w:rsidR="00CA0EC4" w:rsidRPr="00CA0EC4" w:rsidRDefault="00CA0EC4" w:rsidP="001E5FE3">
            <w:pPr>
              <w:autoSpaceDE w:val="0"/>
              <w:autoSpaceDN w:val="0"/>
              <w:adjustRightInd w:val="0"/>
              <w:jc w:val="both"/>
              <w:rPr>
                <w:rFonts w:ascii="Times New Roman" w:eastAsia="Times New Roman" w:hAnsi="Times New Roman" w:cs="Times New Roman"/>
                <w:b/>
                <w:sz w:val="20"/>
                <w:szCs w:val="20"/>
                <w:lang w:eastAsia="pl-PL"/>
              </w:rPr>
            </w:pPr>
            <w:r w:rsidRPr="00CA0EC4">
              <w:rPr>
                <w:rFonts w:ascii="Times New Roman" w:eastAsia="Times New Roman" w:hAnsi="Times New Roman" w:cs="Times New Roman"/>
                <w:bCs/>
                <w:sz w:val="20"/>
                <w:szCs w:val="20"/>
                <w:lang w:eastAsia="pl-PL"/>
              </w:rPr>
              <w:t xml:space="preserve">Propozycja zmiany przepisu: </w:t>
            </w:r>
            <w:r>
              <w:rPr>
                <w:rFonts w:ascii="Times New Roman" w:eastAsia="Times New Roman" w:hAnsi="Times New Roman" w:cs="Times New Roman"/>
                <w:bCs/>
                <w:sz w:val="20"/>
                <w:szCs w:val="20"/>
                <w:lang w:eastAsia="pl-PL"/>
              </w:rPr>
              <w:t>„</w:t>
            </w:r>
            <w:r w:rsidRPr="00CA0EC4">
              <w:rPr>
                <w:rFonts w:ascii="Times New Roman" w:eastAsia="Times New Roman" w:hAnsi="Times New Roman" w:cs="Times New Roman"/>
                <w:bCs/>
                <w:sz w:val="20"/>
                <w:szCs w:val="20"/>
                <w:lang w:eastAsia="pl-PL"/>
              </w:rPr>
              <w:t>Art. 25ca. Jeżeli w terminie dwóch miesięcy od dnia ogłoszenia o wszczęciu postępowania o rozwiązanie bez przeprowadzania postępowania likwidacyjnego podmiot, wobec którego wszczęto postępowanie nie wykaże, że faktycznie prowadzi działalność lub posiada zbywalny majątek, a  okoliczności te nie wynikają z informacji uzyskanych w trybie art. 25a ust. 1a, art. 25c lub zgłoszonych przez osoby trzecie, domniemywa się, że nie posiada on zbywalnego majątku i faktycznie nie prowadzi działalności.”</w:t>
            </w:r>
            <w:r>
              <w:rPr>
                <w:rFonts w:ascii="Times New Roman" w:eastAsia="Times New Roman" w:hAnsi="Times New Roman" w:cs="Times New Roman"/>
                <w:bCs/>
                <w:sz w:val="20"/>
                <w:szCs w:val="20"/>
                <w:lang w:eastAsia="pl-PL"/>
              </w:rPr>
              <w:t>.</w:t>
            </w:r>
            <w:r w:rsidRPr="00CA0EC4">
              <w:rPr>
                <w:rFonts w:ascii="Times New Roman" w:eastAsia="Times New Roman" w:hAnsi="Times New Roman" w:cs="Times New Roman"/>
                <w:bCs/>
                <w:sz w:val="20"/>
                <w:szCs w:val="20"/>
                <w:lang w:eastAsia="pl-PL"/>
              </w:rPr>
              <w:t xml:space="preserve"> Z uwagi na sposób pozyskiwania danych, związany z wykorzystaniem nowoczesnych technologii, zasadne jest skrócenie ww. terminu albowiem takie informacje dostępne są w czasie rzeczywistym za pośrednictwem platform i biur informacji gospodarczej.</w:t>
            </w:r>
          </w:p>
        </w:tc>
      </w:tr>
      <w:tr w:rsidR="0077583A" w:rsidRPr="005134B0" w14:paraId="29B473DA" w14:textId="77777777" w:rsidTr="00B241C8">
        <w:trPr>
          <w:jc w:val="center"/>
        </w:trPr>
        <w:tc>
          <w:tcPr>
            <w:tcW w:w="562" w:type="dxa"/>
          </w:tcPr>
          <w:p w14:paraId="51AE2A15" w14:textId="7D067651" w:rsidR="0077583A" w:rsidRDefault="0077583A"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29.</w:t>
            </w:r>
          </w:p>
        </w:tc>
        <w:tc>
          <w:tcPr>
            <w:tcW w:w="1843" w:type="dxa"/>
            <w:vAlign w:val="center"/>
          </w:tcPr>
          <w:p w14:paraId="21914BA9" w14:textId="7EC66CC2" w:rsidR="0077583A" w:rsidRDefault="0077583A"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Rzeszowie</w:t>
            </w:r>
          </w:p>
        </w:tc>
        <w:tc>
          <w:tcPr>
            <w:tcW w:w="1843" w:type="dxa"/>
            <w:vAlign w:val="center"/>
          </w:tcPr>
          <w:p w14:paraId="5E1058AD" w14:textId="60F1251F" w:rsidR="0077583A" w:rsidRPr="00CA0EC4" w:rsidRDefault="0077583A" w:rsidP="00F43ABB">
            <w:pPr>
              <w:spacing w:before="120" w:after="120"/>
              <w:jc w:val="both"/>
              <w:rPr>
                <w:rFonts w:ascii="Times New Roman" w:hAnsi="Times New Roman" w:cs="Times New Roman"/>
                <w:bCs/>
                <w:sz w:val="20"/>
                <w:szCs w:val="20"/>
              </w:rPr>
            </w:pPr>
            <w:r w:rsidRPr="0077583A">
              <w:rPr>
                <w:rFonts w:ascii="Times New Roman" w:hAnsi="Times New Roman" w:cs="Times New Roman"/>
                <w:bCs/>
                <w:sz w:val="20"/>
                <w:szCs w:val="20"/>
              </w:rPr>
              <w:t>art. 1 pkt 18 lit. a</w:t>
            </w:r>
            <w:r>
              <w:rPr>
                <w:rFonts w:ascii="Times New Roman" w:hAnsi="Times New Roman" w:cs="Times New Roman"/>
                <w:bCs/>
                <w:sz w:val="20"/>
                <w:szCs w:val="20"/>
              </w:rPr>
              <w:t xml:space="preserve"> (</w:t>
            </w:r>
            <w:r w:rsidRPr="0077583A">
              <w:rPr>
                <w:rFonts w:ascii="Times New Roman" w:hAnsi="Times New Roman" w:cs="Times New Roman"/>
                <w:bCs/>
                <w:sz w:val="20"/>
                <w:szCs w:val="20"/>
              </w:rPr>
              <w:t>art. 25d ust. 1 u</w:t>
            </w:r>
            <w:r>
              <w:rPr>
                <w:rFonts w:ascii="Times New Roman" w:hAnsi="Times New Roman" w:cs="Times New Roman"/>
                <w:bCs/>
                <w:sz w:val="20"/>
                <w:szCs w:val="20"/>
              </w:rPr>
              <w:t xml:space="preserve">stawy o </w:t>
            </w:r>
            <w:r w:rsidRPr="0077583A">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5136880B" w14:textId="60E4C3C6" w:rsidR="0077583A" w:rsidRPr="0077583A" w:rsidRDefault="0077583A" w:rsidP="0077583A">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N</w:t>
            </w:r>
            <w:r w:rsidRPr="0077583A">
              <w:rPr>
                <w:rFonts w:ascii="Times New Roman" w:eastAsia="Open Sans Light" w:hAnsi="Times New Roman" w:cs="Times New Roman"/>
                <w:bCs/>
                <w:sz w:val="20"/>
                <w:szCs w:val="20"/>
              </w:rPr>
              <w:t>ależy dostosować biurowość oraz formularze sprawozdawcze do zmienionej treści przepisu, ponieważ obecnie odrębnie ewidencjonowane są sprawy o rozwiązanie podmiotu bez przeprowadzenia postępowania likwidacyjnego (art. 25a) oraz o wykreślenie w trybie art. 25a z urzędu na skutek rozwiązania podmiotu bez przeprowadzenia postępowania likwidacyjnego.</w:t>
            </w:r>
          </w:p>
          <w:p w14:paraId="3426CD39" w14:textId="069AD87B" w:rsidR="0077583A" w:rsidRPr="00CA0EC4" w:rsidRDefault="0077583A" w:rsidP="00777763">
            <w:pPr>
              <w:jc w:val="both"/>
              <w:rPr>
                <w:rFonts w:ascii="Times New Roman" w:eastAsia="Open Sans Light" w:hAnsi="Times New Roman" w:cs="Times New Roman"/>
                <w:bCs/>
                <w:sz w:val="20"/>
                <w:szCs w:val="20"/>
              </w:rPr>
            </w:pPr>
            <w:r w:rsidRPr="0077583A">
              <w:rPr>
                <w:rFonts w:ascii="Times New Roman" w:eastAsia="Open Sans Light" w:hAnsi="Times New Roman" w:cs="Times New Roman"/>
                <w:bCs/>
                <w:sz w:val="20"/>
                <w:szCs w:val="20"/>
              </w:rPr>
              <w:t>Ponadto w przypadku podmiotów w likwidacji, które mają już zamieszczony w rejestrze wpis informacji o rozwiązaniu podmiotu, funkcjonalność SOW nie pozwala na wpis</w:t>
            </w:r>
            <w:r w:rsidR="00777763">
              <w:rPr>
                <w:rFonts w:ascii="Times New Roman" w:eastAsia="Open Sans Light" w:hAnsi="Times New Roman" w:cs="Times New Roman"/>
                <w:bCs/>
                <w:sz w:val="20"/>
                <w:szCs w:val="20"/>
              </w:rPr>
              <w:t xml:space="preserve"> </w:t>
            </w:r>
            <w:r w:rsidRPr="0077583A">
              <w:rPr>
                <w:rFonts w:ascii="Times New Roman" w:eastAsia="Open Sans Light" w:hAnsi="Times New Roman" w:cs="Times New Roman"/>
                <w:bCs/>
                <w:sz w:val="20"/>
                <w:szCs w:val="20"/>
              </w:rPr>
              <w:t>wzmianki o rozwiązaniu podmiotu na podstawie art. 25a ustawy o KRS - w miejsce dotychczasowego wpisu - w sprawie o wykreślnie</w:t>
            </w:r>
          </w:p>
        </w:tc>
        <w:tc>
          <w:tcPr>
            <w:tcW w:w="4076" w:type="dxa"/>
          </w:tcPr>
          <w:p w14:paraId="58AEBDBE" w14:textId="77777777" w:rsidR="0077583A" w:rsidRDefault="0077583A"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wyjaśniona</w:t>
            </w:r>
          </w:p>
          <w:p w14:paraId="219BCC40" w14:textId="33D1D090" w:rsidR="006A1976" w:rsidRDefault="006A1976"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Biurowość oraz formularze sprawozdawcze zostaną dostosowane.</w:t>
            </w:r>
          </w:p>
          <w:p w14:paraId="4F9BDE85" w14:textId="78E5C3F7" w:rsidR="0077583A" w:rsidRPr="0077583A" w:rsidRDefault="0077583A" w:rsidP="001E5FE3">
            <w:pPr>
              <w:autoSpaceDE w:val="0"/>
              <w:autoSpaceDN w:val="0"/>
              <w:adjustRightInd w:val="0"/>
              <w:jc w:val="both"/>
              <w:rPr>
                <w:rFonts w:ascii="Times New Roman" w:eastAsia="Times New Roman" w:hAnsi="Times New Roman" w:cs="Times New Roman"/>
                <w:bCs/>
                <w:sz w:val="20"/>
                <w:szCs w:val="20"/>
                <w:lang w:eastAsia="pl-PL"/>
              </w:rPr>
            </w:pPr>
            <w:r w:rsidRPr="0077583A">
              <w:rPr>
                <w:rFonts w:ascii="Times New Roman" w:eastAsia="Times New Roman" w:hAnsi="Times New Roman" w:cs="Times New Roman"/>
                <w:bCs/>
                <w:sz w:val="20"/>
                <w:szCs w:val="20"/>
                <w:lang w:eastAsia="pl-PL"/>
              </w:rPr>
              <w:t xml:space="preserve">System SOW KRS działa zgodnie z przepisami rozporządzenia Ministra Sprawiedliwości w sprawie szczegółowego sposobu prowadzenia rejestrów wchodzących w skład Krajowego Rejestru Sądowego oraz szczegółowej treści wpisów w tych rejestrach, które nie pozwala na wpis do rejestru więcej niż jednej informacji o rozwiązaniu podmiotu. Ewentualna zmiana rozporządzenia umożliwi wprowadzenie zmian w systemie zgodnie z postulatem SA w </w:t>
            </w:r>
            <w:r>
              <w:rPr>
                <w:rFonts w:ascii="Times New Roman" w:eastAsia="Times New Roman" w:hAnsi="Times New Roman" w:cs="Times New Roman"/>
                <w:bCs/>
                <w:sz w:val="20"/>
                <w:szCs w:val="20"/>
                <w:lang w:eastAsia="pl-PL"/>
              </w:rPr>
              <w:t>Rzeszowie</w:t>
            </w:r>
            <w:r w:rsidRPr="0077583A">
              <w:rPr>
                <w:rFonts w:ascii="Times New Roman" w:eastAsia="Times New Roman" w:hAnsi="Times New Roman" w:cs="Times New Roman"/>
                <w:bCs/>
                <w:sz w:val="20"/>
                <w:szCs w:val="20"/>
                <w:lang w:eastAsia="pl-PL"/>
              </w:rPr>
              <w:t>.</w:t>
            </w:r>
          </w:p>
        </w:tc>
      </w:tr>
      <w:tr w:rsidR="0077583A" w:rsidRPr="005134B0" w14:paraId="024A4C41" w14:textId="77777777" w:rsidTr="00B241C8">
        <w:trPr>
          <w:jc w:val="center"/>
        </w:trPr>
        <w:tc>
          <w:tcPr>
            <w:tcW w:w="562" w:type="dxa"/>
          </w:tcPr>
          <w:p w14:paraId="2370B12D" w14:textId="0BDF07E4" w:rsidR="0077583A" w:rsidRDefault="00325A3E"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30.</w:t>
            </w:r>
          </w:p>
        </w:tc>
        <w:tc>
          <w:tcPr>
            <w:tcW w:w="1843" w:type="dxa"/>
            <w:vAlign w:val="center"/>
          </w:tcPr>
          <w:p w14:paraId="3549CC50" w14:textId="0D567C46" w:rsidR="0077583A" w:rsidRDefault="00325A3E"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6B2FDF0B" w14:textId="35A24E64" w:rsidR="0077583A" w:rsidRPr="00CA0EC4" w:rsidRDefault="00325A3E" w:rsidP="00F43ABB">
            <w:pPr>
              <w:spacing w:before="120" w:after="120"/>
              <w:jc w:val="both"/>
              <w:rPr>
                <w:rFonts w:ascii="Times New Roman" w:hAnsi="Times New Roman" w:cs="Times New Roman"/>
                <w:bCs/>
                <w:sz w:val="20"/>
                <w:szCs w:val="20"/>
              </w:rPr>
            </w:pPr>
            <w:r w:rsidRPr="00325A3E">
              <w:rPr>
                <w:rFonts w:ascii="Times New Roman" w:hAnsi="Times New Roman" w:cs="Times New Roman"/>
                <w:bCs/>
                <w:sz w:val="20"/>
                <w:szCs w:val="20"/>
              </w:rPr>
              <w:t>art. 1 pkt 18 lit. a</w:t>
            </w:r>
            <w:r>
              <w:rPr>
                <w:rFonts w:ascii="Times New Roman" w:hAnsi="Times New Roman" w:cs="Times New Roman"/>
                <w:bCs/>
                <w:sz w:val="20"/>
                <w:szCs w:val="20"/>
              </w:rPr>
              <w:t xml:space="preserve"> (</w:t>
            </w:r>
            <w:r w:rsidRPr="00325A3E">
              <w:rPr>
                <w:rFonts w:ascii="Times New Roman" w:hAnsi="Times New Roman" w:cs="Times New Roman"/>
                <w:bCs/>
                <w:sz w:val="20"/>
                <w:szCs w:val="20"/>
              </w:rPr>
              <w:t>art. 25d ust. 1 u</w:t>
            </w:r>
            <w:r>
              <w:rPr>
                <w:rFonts w:ascii="Times New Roman" w:hAnsi="Times New Roman" w:cs="Times New Roman"/>
                <w:bCs/>
                <w:sz w:val="20"/>
                <w:szCs w:val="20"/>
              </w:rPr>
              <w:t xml:space="preserve">stawy o </w:t>
            </w:r>
            <w:r w:rsidRPr="00325A3E">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268C9BDD" w14:textId="70495228" w:rsidR="0077583A" w:rsidRPr="00CA0EC4" w:rsidRDefault="00325A3E" w:rsidP="005C0EEF">
            <w:pPr>
              <w:jc w:val="both"/>
              <w:rPr>
                <w:rFonts w:ascii="Times New Roman" w:eastAsia="Open Sans Light" w:hAnsi="Times New Roman" w:cs="Times New Roman"/>
                <w:bCs/>
                <w:sz w:val="20"/>
                <w:szCs w:val="20"/>
              </w:rPr>
            </w:pPr>
            <w:r>
              <w:rPr>
                <w:rFonts w:ascii="Times New Roman" w:eastAsia="Open Sans Light" w:hAnsi="Times New Roman" w:cs="Times New Roman"/>
                <w:bCs/>
                <w:sz w:val="20"/>
                <w:szCs w:val="20"/>
              </w:rPr>
              <w:t xml:space="preserve">W </w:t>
            </w:r>
            <w:r w:rsidRPr="00325A3E">
              <w:rPr>
                <w:rFonts w:ascii="Times New Roman" w:eastAsia="Open Sans Light" w:hAnsi="Times New Roman" w:cs="Times New Roman"/>
                <w:bCs/>
                <w:sz w:val="20"/>
                <w:szCs w:val="20"/>
              </w:rPr>
              <w:t xml:space="preserve">aktualnym stanie prawnym nie wydaje się optymalnym rozwiązaniem wprowadzana do art. 25d ust. 1 zdanie 2 zasada, że w postanowieniu o rozwiązaniu podmiotu orzeka się również o jego wykreśleniu. Wynika to z faktu, iż rozstrzygnięcie o rozwiązaniu i </w:t>
            </w:r>
            <w:r w:rsidRPr="00325A3E">
              <w:rPr>
                <w:rFonts w:ascii="Times New Roman" w:eastAsia="Open Sans Light" w:hAnsi="Times New Roman" w:cs="Times New Roman"/>
                <w:bCs/>
                <w:sz w:val="20"/>
                <w:szCs w:val="20"/>
              </w:rPr>
              <w:lastRenderedPageBreak/>
              <w:t>wykreśleniu będą musiały być zawarte w odrębnych punktach orzeczenia, a zatem sama decyzja o rozwiązaniu – jako nie mieszcząca się w kategorii orzeczenia wpisowego – nie będzie objęta wydłużoną skutecznością prawną w przypadku wniesienia skargi na orzeczenie referendarza sądowego (por. art. 518(1) § 3(1) k.p.c.). Jeżeli zatem skarga taka wpłynie, orzeczenie o rozwiązaniu straci moc na podstawie art. 398(22) § 3 k.p.c., a upadek tego fragmentu rozstrzygnięcia bez wątpienia spowoduje konieczność uchylenia orzeczenia w przedmiocie wykreślenia, i to niezależnie od wartości merytorycznej wniesionej skargi. W związku z powyższym bezpieczniejszym rozwiązaniem jest oczekiwanie na uprawomocnienie się decyzji o rozwiązaniu i dopiero w dalszej kolejności wykreślenie podmiotu. Natomiast zawarta w projekcie propozycja byłaby zasadna, gdyby połączyć ją z nowelizacją art. 518(1) § 3(1) k.p.c. rozszerzającą katalog orzeczeń, które nie traciłyby mocy na skutek wniesienia skargi.</w:t>
            </w:r>
          </w:p>
        </w:tc>
        <w:tc>
          <w:tcPr>
            <w:tcW w:w="4076" w:type="dxa"/>
          </w:tcPr>
          <w:p w14:paraId="4D326B6C" w14:textId="77777777" w:rsidR="0077583A" w:rsidRDefault="00D769C7"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nieuwzględniona</w:t>
            </w:r>
          </w:p>
          <w:p w14:paraId="0FAF5EA4" w14:textId="0274B4BD" w:rsidR="00D769C7" w:rsidRDefault="00D769C7" w:rsidP="001E5FE3">
            <w:pPr>
              <w:autoSpaceDE w:val="0"/>
              <w:autoSpaceDN w:val="0"/>
              <w:adjustRightInd w:val="0"/>
              <w:jc w:val="both"/>
              <w:rPr>
                <w:rFonts w:ascii="Times New Roman" w:eastAsia="Times New Roman" w:hAnsi="Times New Roman" w:cs="Times New Roman"/>
                <w:bCs/>
                <w:sz w:val="20"/>
                <w:szCs w:val="20"/>
                <w:lang w:eastAsia="pl-PL"/>
              </w:rPr>
            </w:pPr>
            <w:r w:rsidRPr="00D769C7">
              <w:rPr>
                <w:rFonts w:ascii="Times New Roman" w:eastAsia="Times New Roman" w:hAnsi="Times New Roman" w:cs="Times New Roman"/>
                <w:bCs/>
                <w:sz w:val="20"/>
                <w:szCs w:val="20"/>
                <w:lang w:eastAsia="pl-PL"/>
              </w:rPr>
              <w:t xml:space="preserve">Zasadą na gruncie przepisów prawa polskiego jest zrównanie w czasie momentu wykreślenia podmiotu z rejestru z momentem jego </w:t>
            </w:r>
            <w:r w:rsidRPr="00D769C7">
              <w:rPr>
                <w:rFonts w:ascii="Times New Roman" w:eastAsia="Times New Roman" w:hAnsi="Times New Roman" w:cs="Times New Roman"/>
                <w:bCs/>
                <w:sz w:val="20"/>
                <w:szCs w:val="20"/>
                <w:lang w:eastAsia="pl-PL"/>
              </w:rPr>
              <w:lastRenderedPageBreak/>
              <w:t>rozwiązania (por. np. art. 84 § 2, art. 85 § 1, art. 272, art. 289 § 1, art. 477 § 1, czy art. 478  Kodeks spółek handlowych).</w:t>
            </w:r>
            <w:r w:rsidR="00367236">
              <w:rPr>
                <w:rFonts w:ascii="Times New Roman" w:eastAsia="Times New Roman" w:hAnsi="Times New Roman" w:cs="Times New Roman"/>
                <w:bCs/>
                <w:sz w:val="20"/>
                <w:szCs w:val="20"/>
                <w:lang w:eastAsia="pl-PL"/>
              </w:rPr>
              <w:t xml:space="preserve"> </w:t>
            </w:r>
            <w:r w:rsidRPr="00D769C7">
              <w:rPr>
                <w:rFonts w:ascii="Times New Roman" w:eastAsia="Times New Roman" w:hAnsi="Times New Roman" w:cs="Times New Roman"/>
                <w:bCs/>
                <w:sz w:val="20"/>
                <w:szCs w:val="20"/>
                <w:lang w:eastAsia="pl-PL"/>
              </w:rPr>
              <w:t>Rozwiązanie podmiotu jest zatem konsekwencją zaistnienia przewidzianych przez ustawodawcę zdarzeń prawnych, których zwieńczeniem jest uprawomocnienie się postanowienia o wykreśleniu podmiotu z Rejestru. Nie ma podstaw do uznania, aby w przypadku postępowań prowadzonych w trybie art. 25a i nast. ustawy o KRS było inaczej. Spośród innych trybów zakończenia działalności przez podmioty rejestrowe postępowanie te wyróżnia jedynie specyficzny charakter prowadzonych przez sąd rejestrowy czynności. Procedurę likwidacyjną zastępuje tutaj badanie, czy podmiot ten posiada zbywalny majątek i czy faktycznie prowadzi działalność (por. art. 25a ust. 2 ustawy o KRS).</w:t>
            </w:r>
          </w:p>
          <w:p w14:paraId="40F8FC35" w14:textId="2AF0469C" w:rsidR="00367236" w:rsidRDefault="00367236"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P</w:t>
            </w:r>
            <w:r w:rsidRPr="00367236">
              <w:rPr>
                <w:rFonts w:ascii="Times New Roman" w:eastAsia="Times New Roman" w:hAnsi="Times New Roman" w:cs="Times New Roman"/>
                <w:bCs/>
                <w:sz w:val="20"/>
                <w:szCs w:val="20"/>
                <w:lang w:eastAsia="pl-PL"/>
              </w:rPr>
              <w:t>rojektowany przepis nie stanowi przeszkody do zredagowania sentencji postanowienia w dwóch osobnych punktach. W tym zakresie orzecznik podejmuje decyzję samodzielnie. W związku z powyższym uwaga SA w Poznaniu, że sentencja postanowienia musi być zredagowana w dwóch oddzielnych punktach, jest chybiona.</w:t>
            </w:r>
          </w:p>
          <w:p w14:paraId="7B44324A" w14:textId="175AA5A6" w:rsidR="00367236" w:rsidRPr="00D769C7" w:rsidRDefault="00367236" w:rsidP="00367236">
            <w:pPr>
              <w:autoSpaceDE w:val="0"/>
              <w:autoSpaceDN w:val="0"/>
              <w:adjustRightInd w:val="0"/>
              <w:jc w:val="both"/>
              <w:rPr>
                <w:rFonts w:ascii="Times New Roman" w:eastAsia="Times New Roman" w:hAnsi="Times New Roman" w:cs="Times New Roman"/>
                <w:bCs/>
                <w:sz w:val="20"/>
                <w:szCs w:val="20"/>
                <w:lang w:eastAsia="pl-PL"/>
              </w:rPr>
            </w:pPr>
            <w:r w:rsidRPr="00367236">
              <w:rPr>
                <w:rFonts w:ascii="Times New Roman" w:eastAsia="Times New Roman" w:hAnsi="Times New Roman" w:cs="Times New Roman"/>
                <w:bCs/>
                <w:sz w:val="20"/>
                <w:szCs w:val="20"/>
                <w:lang w:eastAsia="pl-PL"/>
              </w:rPr>
              <w:t xml:space="preserve">Problem, o którym pisze SA w Poznaniu sprowadza się de facto do kolizji między art. 518(1) § 3 (1) </w:t>
            </w:r>
            <w:proofErr w:type="spellStart"/>
            <w:r w:rsidRPr="00367236">
              <w:rPr>
                <w:rFonts w:ascii="Times New Roman" w:eastAsia="Times New Roman" w:hAnsi="Times New Roman" w:cs="Times New Roman"/>
                <w:bCs/>
                <w:sz w:val="20"/>
                <w:szCs w:val="20"/>
                <w:lang w:eastAsia="pl-PL"/>
              </w:rPr>
              <w:t>kpc</w:t>
            </w:r>
            <w:proofErr w:type="spellEnd"/>
            <w:r w:rsidRPr="00367236">
              <w:rPr>
                <w:rFonts w:ascii="Times New Roman" w:eastAsia="Times New Roman" w:hAnsi="Times New Roman" w:cs="Times New Roman"/>
                <w:bCs/>
                <w:sz w:val="20"/>
                <w:szCs w:val="20"/>
                <w:lang w:eastAsia="pl-PL"/>
              </w:rPr>
              <w:t xml:space="preserve"> oraz art. 39</w:t>
            </w:r>
            <w:r>
              <w:rPr>
                <w:rFonts w:ascii="Times New Roman" w:eastAsia="Times New Roman" w:hAnsi="Times New Roman" w:cs="Times New Roman"/>
                <w:bCs/>
                <w:sz w:val="20"/>
                <w:szCs w:val="20"/>
                <w:lang w:eastAsia="pl-PL"/>
              </w:rPr>
              <w:t>8</w:t>
            </w:r>
            <w:r w:rsidRPr="00367236">
              <w:rPr>
                <w:rFonts w:ascii="Times New Roman" w:eastAsia="Times New Roman" w:hAnsi="Times New Roman" w:cs="Times New Roman"/>
                <w:bCs/>
                <w:sz w:val="20"/>
                <w:szCs w:val="20"/>
                <w:lang w:eastAsia="pl-PL"/>
              </w:rPr>
              <w:t xml:space="preserve"> (22) </w:t>
            </w:r>
            <w:proofErr w:type="spellStart"/>
            <w:r w:rsidRPr="00367236">
              <w:rPr>
                <w:rFonts w:ascii="Times New Roman" w:eastAsia="Times New Roman" w:hAnsi="Times New Roman" w:cs="Times New Roman"/>
                <w:bCs/>
                <w:sz w:val="20"/>
                <w:szCs w:val="20"/>
                <w:lang w:eastAsia="pl-PL"/>
              </w:rPr>
              <w:t>kpc</w:t>
            </w:r>
            <w:proofErr w:type="spellEnd"/>
            <w:r w:rsidRPr="00367236">
              <w:rPr>
                <w:rFonts w:ascii="Times New Roman" w:eastAsia="Times New Roman" w:hAnsi="Times New Roman" w:cs="Times New Roman"/>
                <w:bCs/>
                <w:sz w:val="20"/>
                <w:szCs w:val="20"/>
                <w:lang w:eastAsia="pl-PL"/>
              </w:rPr>
              <w:t xml:space="preserve">. W istocie bowiem złożenie skargi w trybie tego pierwszego artykułu na orzeczenie wpisowe (zarządzające wpis) skutkuje koniecznością zbadania przez sąd rozpoznający skargę również prawidłowości orzeczenia </w:t>
            </w:r>
            <w:proofErr w:type="spellStart"/>
            <w:r w:rsidRPr="00367236">
              <w:rPr>
                <w:rFonts w:ascii="Times New Roman" w:eastAsia="Times New Roman" w:hAnsi="Times New Roman" w:cs="Times New Roman"/>
                <w:bCs/>
                <w:sz w:val="20"/>
                <w:szCs w:val="20"/>
                <w:lang w:eastAsia="pl-PL"/>
              </w:rPr>
              <w:t>niewpisowego</w:t>
            </w:r>
            <w:proofErr w:type="spellEnd"/>
            <w:r w:rsidRPr="00367236">
              <w:rPr>
                <w:rFonts w:ascii="Times New Roman" w:eastAsia="Times New Roman" w:hAnsi="Times New Roman" w:cs="Times New Roman"/>
                <w:bCs/>
                <w:sz w:val="20"/>
                <w:szCs w:val="20"/>
                <w:lang w:eastAsia="pl-PL"/>
              </w:rPr>
              <w:t xml:space="preserve"> czyli orzekającego rozwiązanie podmiotu. Rozstrzygnięcie tej kolizji wymaga</w:t>
            </w:r>
            <w:r w:rsidR="002D02C8">
              <w:rPr>
                <w:rFonts w:ascii="Times New Roman" w:eastAsia="Times New Roman" w:hAnsi="Times New Roman" w:cs="Times New Roman"/>
                <w:bCs/>
                <w:sz w:val="20"/>
                <w:szCs w:val="20"/>
                <w:lang w:eastAsia="pl-PL"/>
              </w:rPr>
              <w:t>łoby</w:t>
            </w:r>
            <w:r w:rsidRPr="00367236">
              <w:rPr>
                <w:rFonts w:ascii="Times New Roman" w:eastAsia="Times New Roman" w:hAnsi="Times New Roman" w:cs="Times New Roman"/>
                <w:bCs/>
                <w:sz w:val="20"/>
                <w:szCs w:val="20"/>
                <w:lang w:eastAsia="pl-PL"/>
              </w:rPr>
              <w:t xml:space="preserve"> wyłączenia możliwości złożenia osobnej skargi </w:t>
            </w:r>
            <w:r w:rsidRPr="00367236">
              <w:rPr>
                <w:rFonts w:ascii="Times New Roman" w:eastAsia="Times New Roman" w:hAnsi="Times New Roman" w:cs="Times New Roman"/>
                <w:bCs/>
                <w:sz w:val="20"/>
                <w:szCs w:val="20"/>
                <w:lang w:eastAsia="pl-PL"/>
              </w:rPr>
              <w:lastRenderedPageBreak/>
              <w:t>z art. 3</w:t>
            </w:r>
            <w:r>
              <w:rPr>
                <w:rFonts w:ascii="Times New Roman" w:eastAsia="Times New Roman" w:hAnsi="Times New Roman" w:cs="Times New Roman"/>
                <w:bCs/>
                <w:sz w:val="20"/>
                <w:szCs w:val="20"/>
                <w:lang w:eastAsia="pl-PL"/>
              </w:rPr>
              <w:t>98</w:t>
            </w:r>
            <w:r w:rsidRPr="00367236">
              <w:rPr>
                <w:rFonts w:ascii="Times New Roman" w:eastAsia="Times New Roman" w:hAnsi="Times New Roman" w:cs="Times New Roman"/>
                <w:bCs/>
                <w:sz w:val="20"/>
                <w:szCs w:val="20"/>
                <w:lang w:eastAsia="pl-PL"/>
              </w:rPr>
              <w:t xml:space="preserve"> (22) </w:t>
            </w:r>
            <w:proofErr w:type="spellStart"/>
            <w:r w:rsidRPr="00367236">
              <w:rPr>
                <w:rFonts w:ascii="Times New Roman" w:eastAsia="Times New Roman" w:hAnsi="Times New Roman" w:cs="Times New Roman"/>
                <w:bCs/>
                <w:sz w:val="20"/>
                <w:szCs w:val="20"/>
                <w:lang w:eastAsia="pl-PL"/>
              </w:rPr>
              <w:t>kpc</w:t>
            </w:r>
            <w:proofErr w:type="spellEnd"/>
            <w:r w:rsidRPr="00367236">
              <w:rPr>
                <w:rFonts w:ascii="Times New Roman" w:eastAsia="Times New Roman" w:hAnsi="Times New Roman" w:cs="Times New Roman"/>
                <w:bCs/>
                <w:sz w:val="20"/>
                <w:szCs w:val="20"/>
                <w:lang w:eastAsia="pl-PL"/>
              </w:rPr>
              <w:t xml:space="preserve"> gdy skarżone jest orzeczenie wpisowe z art. 518(1) § 3 (1) </w:t>
            </w:r>
            <w:proofErr w:type="spellStart"/>
            <w:r w:rsidRPr="00367236">
              <w:rPr>
                <w:rFonts w:ascii="Times New Roman" w:eastAsia="Times New Roman" w:hAnsi="Times New Roman" w:cs="Times New Roman"/>
                <w:bCs/>
                <w:sz w:val="20"/>
                <w:szCs w:val="20"/>
                <w:lang w:eastAsia="pl-PL"/>
              </w:rPr>
              <w:t>kpc</w:t>
            </w:r>
            <w:proofErr w:type="spellEnd"/>
            <w:r w:rsidRPr="00367236">
              <w:rPr>
                <w:rFonts w:ascii="Times New Roman" w:eastAsia="Times New Roman" w:hAnsi="Times New Roman" w:cs="Times New Roman"/>
                <w:bCs/>
                <w:sz w:val="20"/>
                <w:szCs w:val="20"/>
                <w:lang w:eastAsia="pl-PL"/>
              </w:rPr>
              <w:t xml:space="preserve"> jednakże zmiana </w:t>
            </w:r>
            <w:proofErr w:type="spellStart"/>
            <w:r w:rsidRPr="00367236">
              <w:rPr>
                <w:rFonts w:ascii="Times New Roman" w:eastAsia="Times New Roman" w:hAnsi="Times New Roman" w:cs="Times New Roman"/>
                <w:bCs/>
                <w:sz w:val="20"/>
                <w:szCs w:val="20"/>
                <w:lang w:eastAsia="pl-PL"/>
              </w:rPr>
              <w:t>kpc</w:t>
            </w:r>
            <w:proofErr w:type="spellEnd"/>
            <w:r w:rsidRPr="00367236">
              <w:rPr>
                <w:rFonts w:ascii="Times New Roman" w:eastAsia="Times New Roman" w:hAnsi="Times New Roman" w:cs="Times New Roman"/>
                <w:bCs/>
                <w:sz w:val="20"/>
                <w:szCs w:val="20"/>
                <w:lang w:eastAsia="pl-PL"/>
              </w:rPr>
              <w:t xml:space="preserve"> tym zakresie nie jest przedmiotem niniejszego projektu i wymaga osobnej analizy</w:t>
            </w:r>
            <w:r>
              <w:rPr>
                <w:rFonts w:ascii="Times New Roman" w:eastAsia="Times New Roman" w:hAnsi="Times New Roman" w:cs="Times New Roman"/>
                <w:bCs/>
                <w:sz w:val="20"/>
                <w:szCs w:val="20"/>
                <w:lang w:eastAsia="pl-PL"/>
              </w:rPr>
              <w:t>.</w:t>
            </w:r>
          </w:p>
        </w:tc>
      </w:tr>
      <w:tr w:rsidR="00036FF8" w:rsidRPr="005134B0" w14:paraId="38E73662" w14:textId="77777777" w:rsidTr="00B241C8">
        <w:trPr>
          <w:jc w:val="center"/>
        </w:trPr>
        <w:tc>
          <w:tcPr>
            <w:tcW w:w="562" w:type="dxa"/>
          </w:tcPr>
          <w:p w14:paraId="7B82AC7A" w14:textId="469B214A" w:rsidR="00036FF8" w:rsidRPr="005134B0" w:rsidRDefault="00036FF8"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31.</w:t>
            </w:r>
          </w:p>
        </w:tc>
        <w:tc>
          <w:tcPr>
            <w:tcW w:w="1843" w:type="dxa"/>
            <w:vAlign w:val="center"/>
          </w:tcPr>
          <w:p w14:paraId="5F1FB3E3" w14:textId="104259EE" w:rsidR="00036FF8" w:rsidRPr="001E5FE3" w:rsidRDefault="00036FF8"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Gdańsku</w:t>
            </w:r>
          </w:p>
        </w:tc>
        <w:tc>
          <w:tcPr>
            <w:tcW w:w="1843" w:type="dxa"/>
            <w:vAlign w:val="center"/>
          </w:tcPr>
          <w:p w14:paraId="5E44F723" w14:textId="323C881D" w:rsidR="00036FF8" w:rsidRPr="001E5FE3" w:rsidRDefault="00036FF8" w:rsidP="00F43ABB">
            <w:pPr>
              <w:spacing w:before="120" w:after="120"/>
              <w:jc w:val="both"/>
              <w:rPr>
                <w:rFonts w:ascii="Times New Roman" w:hAnsi="Times New Roman" w:cs="Times New Roman"/>
                <w:bCs/>
                <w:sz w:val="20"/>
                <w:szCs w:val="20"/>
              </w:rPr>
            </w:pPr>
            <w:r w:rsidRPr="00036FF8">
              <w:rPr>
                <w:rFonts w:ascii="Times New Roman" w:hAnsi="Times New Roman" w:cs="Times New Roman"/>
                <w:bCs/>
                <w:sz w:val="20"/>
                <w:szCs w:val="20"/>
              </w:rPr>
              <w:t xml:space="preserve">art. 1 pkt 18 lit. </w:t>
            </w:r>
            <w:r>
              <w:rPr>
                <w:rFonts w:ascii="Times New Roman" w:hAnsi="Times New Roman" w:cs="Times New Roman"/>
                <w:bCs/>
                <w:sz w:val="20"/>
                <w:szCs w:val="20"/>
              </w:rPr>
              <w:t>c (art</w:t>
            </w:r>
            <w:r w:rsidRPr="00036FF8">
              <w:rPr>
                <w:rFonts w:ascii="Times New Roman" w:hAnsi="Times New Roman" w:cs="Times New Roman"/>
                <w:bCs/>
                <w:sz w:val="20"/>
                <w:szCs w:val="20"/>
              </w:rPr>
              <w:t>. 25d ust. 3a i 3b u</w:t>
            </w:r>
            <w:r>
              <w:rPr>
                <w:rFonts w:ascii="Times New Roman" w:hAnsi="Times New Roman" w:cs="Times New Roman"/>
                <w:bCs/>
                <w:sz w:val="20"/>
                <w:szCs w:val="20"/>
              </w:rPr>
              <w:t xml:space="preserve">stawy o </w:t>
            </w:r>
            <w:r w:rsidRPr="00036FF8">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05F08682" w14:textId="79D1C953" w:rsidR="00036FF8" w:rsidRPr="00036FF8" w:rsidRDefault="00036FF8" w:rsidP="00036FF8">
            <w:pPr>
              <w:jc w:val="both"/>
              <w:rPr>
                <w:rFonts w:ascii="Times New Roman" w:eastAsia="Open Sans Light" w:hAnsi="Times New Roman" w:cs="Times New Roman"/>
                <w:bCs/>
                <w:sz w:val="20"/>
                <w:szCs w:val="20"/>
              </w:rPr>
            </w:pPr>
            <w:r w:rsidRPr="00036FF8">
              <w:rPr>
                <w:rFonts w:ascii="Times New Roman" w:eastAsia="Open Sans Light" w:hAnsi="Times New Roman" w:cs="Times New Roman"/>
                <w:bCs/>
                <w:sz w:val="20"/>
                <w:szCs w:val="20"/>
              </w:rPr>
              <w:t>Zgodnie z proponowanym brzmieniem art. 25d ust.</w:t>
            </w:r>
            <w:r w:rsidR="005E0A86">
              <w:rPr>
                <w:rFonts w:ascii="Times New Roman" w:eastAsia="Open Sans Light" w:hAnsi="Times New Roman" w:cs="Times New Roman"/>
                <w:bCs/>
                <w:sz w:val="20"/>
                <w:szCs w:val="20"/>
              </w:rPr>
              <w:t xml:space="preserve"> </w:t>
            </w:r>
            <w:r w:rsidRPr="00036FF8">
              <w:rPr>
                <w:rFonts w:ascii="Times New Roman" w:eastAsia="Open Sans Light" w:hAnsi="Times New Roman" w:cs="Times New Roman"/>
                <w:bCs/>
                <w:sz w:val="20"/>
                <w:szCs w:val="20"/>
              </w:rPr>
              <w:t>3a. „W przypadku ustalenia, że podmiot posiada zbywalny majątek, a nie wykonuje obowiązku złożenia wniosku o wpis do Rejestru lub dokumentów, których złożenie jest obowiązkowe, sąd rejestrowy wzywa podmiot do wykonania obowiązku - wyznaczając dodatkowy 7-dniowy termin. Przepisy art. 24 ust. 3 i 4 stosuje się odpowiednio. 3b. Jeżeli postępowanie mające na celu egzekucję grzywny nałożonej w postępowaniu o rozwiązanie podmiotu wpisanego do Rejestru bez przeprowadzania postępowania likwidacyjnego zostało umorzone na podstawie art. 824 § 1 pkt 3 Kodeksu postępowania cywilnego, sąd rejestrowy orzeka o rozwiązaniu podmiotu wpisanego do Rejestru bez przeprowadzania postępowania likwidacyjnego, chyba że zachodzą podstawy do umorzenia postępowania”. Przyjęty model postępowania oznacza, iż jedynie w przypadku, gdy w postępowaniu o rozwiązanie podmiotu bez przeprowadzania postępowania likwidacyjnego zostanie ustalone, że spółka posiada majątek zbywalny w istocie stosowane są środki przymusu w postaci nakładanej na obowiązany podmiot grzywny. Doświadczenia sądu rejestrowego wskazują jednak, iż w toku w/w postępowania o rozwiązanie podmiotu bez przeprowadzania likwidacji stwierdzane są sytuacje, w których podmiot nie posiada majątku zbywalnego, ale faktycznie prowadzi działalność (np. składa aktualne deklaracje podatkowe).</w:t>
            </w:r>
          </w:p>
          <w:p w14:paraId="16C9D43B" w14:textId="7764D1C2" w:rsidR="00036FF8" w:rsidRPr="001E5FE3" w:rsidRDefault="00036FF8" w:rsidP="00036FF8">
            <w:pPr>
              <w:jc w:val="both"/>
              <w:rPr>
                <w:rFonts w:ascii="Times New Roman" w:eastAsia="Open Sans Light" w:hAnsi="Times New Roman" w:cs="Times New Roman"/>
                <w:bCs/>
                <w:sz w:val="20"/>
                <w:szCs w:val="20"/>
              </w:rPr>
            </w:pPr>
            <w:r w:rsidRPr="00036FF8">
              <w:rPr>
                <w:rFonts w:ascii="Times New Roman" w:eastAsia="Open Sans Light" w:hAnsi="Times New Roman" w:cs="Times New Roman"/>
                <w:bCs/>
                <w:sz w:val="20"/>
                <w:szCs w:val="20"/>
              </w:rPr>
              <w:t>Przenosząc powyższy stan faktyczny na proponowaną regulację oznacza to obowiązek umorzenia postępowania o rozwiązanie podmiotu bez przeprowadzania likwidacji i o jego wykreślenie z rejestru bez jednoczesnego zastosowania środków przymusu. Jedynym i wyłącznym skutkiem dla takiego podmiotu, który faktycznie prowadzi działalność gospodarczą jest dalej istniejąca w Rejestrze wzmianka o niewykonaniu obowiązku złożenia dokumentów finansowych.</w:t>
            </w:r>
          </w:p>
        </w:tc>
        <w:tc>
          <w:tcPr>
            <w:tcW w:w="4076" w:type="dxa"/>
          </w:tcPr>
          <w:p w14:paraId="3C68447C" w14:textId="72DFFB4E" w:rsidR="00036FF8" w:rsidRDefault="00036FF8"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nieaktualna</w:t>
            </w:r>
          </w:p>
          <w:p w14:paraId="57DF9F18" w14:textId="61AA50B3" w:rsidR="00036FF8" w:rsidRPr="00036FF8" w:rsidRDefault="00036FF8" w:rsidP="001E5FE3">
            <w:pPr>
              <w:autoSpaceDE w:val="0"/>
              <w:autoSpaceDN w:val="0"/>
              <w:adjustRightInd w:val="0"/>
              <w:jc w:val="both"/>
              <w:rPr>
                <w:rFonts w:ascii="Times New Roman" w:eastAsia="Times New Roman" w:hAnsi="Times New Roman" w:cs="Times New Roman"/>
                <w:bCs/>
                <w:sz w:val="20"/>
                <w:szCs w:val="20"/>
                <w:lang w:eastAsia="pl-PL"/>
              </w:rPr>
            </w:pPr>
            <w:r w:rsidRPr="00036FF8">
              <w:rPr>
                <w:rFonts w:ascii="Times New Roman" w:eastAsia="Times New Roman" w:hAnsi="Times New Roman" w:cs="Times New Roman"/>
                <w:bCs/>
                <w:sz w:val="20"/>
                <w:szCs w:val="20"/>
                <w:lang w:eastAsia="pl-PL"/>
              </w:rPr>
              <w:t xml:space="preserve">Uwaga ma charakter </w:t>
            </w:r>
            <w:proofErr w:type="spellStart"/>
            <w:r w:rsidRPr="00036FF8">
              <w:rPr>
                <w:rFonts w:ascii="Times New Roman" w:eastAsia="Times New Roman" w:hAnsi="Times New Roman" w:cs="Times New Roman"/>
                <w:bCs/>
                <w:sz w:val="20"/>
                <w:szCs w:val="20"/>
                <w:lang w:eastAsia="pl-PL"/>
              </w:rPr>
              <w:t>ocenny</w:t>
            </w:r>
            <w:proofErr w:type="spellEnd"/>
            <w:r w:rsidRPr="00036FF8">
              <w:rPr>
                <w:rFonts w:ascii="Times New Roman" w:eastAsia="Times New Roman" w:hAnsi="Times New Roman" w:cs="Times New Roman"/>
                <w:bCs/>
                <w:sz w:val="20"/>
                <w:szCs w:val="20"/>
                <w:lang w:eastAsia="pl-PL"/>
              </w:rPr>
              <w:t xml:space="preserve">.                                                                                              </w:t>
            </w:r>
            <w:r>
              <w:rPr>
                <w:rFonts w:ascii="Times New Roman" w:eastAsia="Times New Roman" w:hAnsi="Times New Roman" w:cs="Times New Roman"/>
                <w:bCs/>
                <w:sz w:val="20"/>
                <w:szCs w:val="20"/>
                <w:lang w:eastAsia="pl-PL"/>
              </w:rPr>
              <w:t>Projektodawca</w:t>
            </w:r>
            <w:r w:rsidRPr="00036FF8">
              <w:rPr>
                <w:rFonts w:ascii="Times New Roman" w:eastAsia="Times New Roman" w:hAnsi="Times New Roman" w:cs="Times New Roman"/>
                <w:bCs/>
                <w:sz w:val="20"/>
                <w:szCs w:val="20"/>
                <w:lang w:eastAsia="pl-PL"/>
              </w:rPr>
              <w:t xml:space="preserve"> potwierdza, że wzmianka w KRS o niewykonywaniu obowiązku złożenia dokumentów finansowych ma charakter informacyjny (w tym ostrzegawczy) i jednocześnie stygmatyzujący podmiot.                                                     Należy wskazać, że </w:t>
            </w:r>
            <w:r>
              <w:rPr>
                <w:rFonts w:ascii="Times New Roman" w:eastAsia="Times New Roman" w:hAnsi="Times New Roman" w:cs="Times New Roman"/>
                <w:bCs/>
                <w:sz w:val="20"/>
                <w:szCs w:val="20"/>
                <w:lang w:eastAsia="pl-PL"/>
              </w:rPr>
              <w:t>projektodawca</w:t>
            </w:r>
            <w:r w:rsidRPr="00036FF8">
              <w:rPr>
                <w:rFonts w:ascii="Times New Roman" w:eastAsia="Times New Roman" w:hAnsi="Times New Roman" w:cs="Times New Roman"/>
                <w:bCs/>
                <w:sz w:val="20"/>
                <w:szCs w:val="20"/>
                <w:lang w:eastAsia="pl-PL"/>
              </w:rPr>
              <w:t xml:space="preserve"> po przeprowadzonej dodatkowej analizie rezygnuje z dodania ust. 3a i 3b w art. 25d.  </w:t>
            </w:r>
          </w:p>
        </w:tc>
      </w:tr>
      <w:tr w:rsidR="005E0A86" w:rsidRPr="005134B0" w14:paraId="33C704BB" w14:textId="77777777" w:rsidTr="00B241C8">
        <w:trPr>
          <w:jc w:val="center"/>
        </w:trPr>
        <w:tc>
          <w:tcPr>
            <w:tcW w:w="562" w:type="dxa"/>
          </w:tcPr>
          <w:p w14:paraId="07B20D7A" w14:textId="36162ED4" w:rsidR="005E0A86" w:rsidRPr="005134B0" w:rsidRDefault="005E0A86"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32.</w:t>
            </w:r>
          </w:p>
        </w:tc>
        <w:tc>
          <w:tcPr>
            <w:tcW w:w="1843" w:type="dxa"/>
            <w:vAlign w:val="center"/>
          </w:tcPr>
          <w:p w14:paraId="54BBA882" w14:textId="0B9B79B2" w:rsidR="005E0A86" w:rsidRPr="001E5FE3" w:rsidRDefault="005E0A86"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3E3C5CFE" w14:textId="1CF3A994" w:rsidR="005E0A86" w:rsidRPr="001E5FE3" w:rsidRDefault="005E0A86" w:rsidP="00F43ABB">
            <w:pPr>
              <w:spacing w:before="120" w:after="120"/>
              <w:jc w:val="both"/>
              <w:rPr>
                <w:rFonts w:ascii="Times New Roman" w:hAnsi="Times New Roman" w:cs="Times New Roman"/>
                <w:bCs/>
                <w:sz w:val="20"/>
                <w:szCs w:val="20"/>
              </w:rPr>
            </w:pPr>
            <w:r w:rsidRPr="005E0A86">
              <w:rPr>
                <w:rFonts w:ascii="Times New Roman" w:hAnsi="Times New Roman" w:cs="Times New Roman"/>
                <w:bCs/>
                <w:sz w:val="20"/>
                <w:szCs w:val="20"/>
              </w:rPr>
              <w:t>art. 1 pkt 18 lit. c</w:t>
            </w:r>
            <w:r>
              <w:rPr>
                <w:rFonts w:ascii="Times New Roman" w:hAnsi="Times New Roman" w:cs="Times New Roman"/>
                <w:bCs/>
                <w:sz w:val="20"/>
                <w:szCs w:val="20"/>
              </w:rPr>
              <w:t xml:space="preserve"> (</w:t>
            </w:r>
            <w:r w:rsidRPr="005E0A86">
              <w:rPr>
                <w:rFonts w:ascii="Times New Roman" w:hAnsi="Times New Roman" w:cs="Times New Roman"/>
                <w:bCs/>
                <w:sz w:val="20"/>
                <w:szCs w:val="20"/>
              </w:rPr>
              <w:t>art. 25d ust. 3a u</w:t>
            </w:r>
            <w:r>
              <w:rPr>
                <w:rFonts w:ascii="Times New Roman" w:hAnsi="Times New Roman" w:cs="Times New Roman"/>
                <w:bCs/>
                <w:sz w:val="20"/>
                <w:szCs w:val="20"/>
              </w:rPr>
              <w:t xml:space="preserve">stawy o </w:t>
            </w:r>
            <w:r w:rsidRPr="005E0A86">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6C1FEE81" w14:textId="77777777" w:rsidR="005E0A86" w:rsidRPr="005E0A86" w:rsidRDefault="005E0A86" w:rsidP="005E0A86">
            <w:pPr>
              <w:jc w:val="both"/>
              <w:rPr>
                <w:rFonts w:ascii="Times New Roman" w:eastAsia="Open Sans Light" w:hAnsi="Times New Roman" w:cs="Times New Roman"/>
                <w:bCs/>
                <w:sz w:val="20"/>
                <w:szCs w:val="20"/>
              </w:rPr>
            </w:pPr>
            <w:r w:rsidRPr="005E0A86">
              <w:rPr>
                <w:rFonts w:ascii="Times New Roman" w:eastAsia="Open Sans Light" w:hAnsi="Times New Roman" w:cs="Times New Roman"/>
                <w:bCs/>
                <w:sz w:val="20"/>
                <w:szCs w:val="20"/>
              </w:rPr>
              <w:t>W przedstawionym do zaopiniowania projekcie przewiduje się również, że w przypadku braku wykonania obowiązku złożenia wymaganych dokumentów finansowych przez podmiot rejestrowy, zamieszczana jest wzmianka o niewykonaniu obowiązku złożenia dokumentów finansowych i po roku następnie od jej zamieszczenia wszczynane jest z urzędu postępowanie o rozwiązanie podmiotu bez przeprowadzania postępowania likwidacyjnego z jednoczesnym zamieszczeniem wzmianki z urzędu o prowadzeniu tego postępowania.</w:t>
            </w:r>
          </w:p>
          <w:p w14:paraId="200DBCAE" w14:textId="5D24BDE4" w:rsidR="005E0A86" w:rsidRPr="005E0A86" w:rsidRDefault="005E0A86" w:rsidP="005E0A86">
            <w:pPr>
              <w:jc w:val="both"/>
              <w:rPr>
                <w:rFonts w:ascii="Times New Roman" w:eastAsia="Open Sans Light" w:hAnsi="Times New Roman" w:cs="Times New Roman"/>
                <w:bCs/>
                <w:sz w:val="20"/>
                <w:szCs w:val="20"/>
              </w:rPr>
            </w:pPr>
            <w:r w:rsidRPr="005E0A86">
              <w:rPr>
                <w:rFonts w:ascii="Times New Roman" w:eastAsia="Open Sans Light" w:hAnsi="Times New Roman" w:cs="Times New Roman"/>
                <w:bCs/>
                <w:sz w:val="20"/>
                <w:szCs w:val="20"/>
              </w:rPr>
              <w:t>Zgodnie z proponowanym brzmieniem art. 25d ust.</w:t>
            </w:r>
            <w:r>
              <w:rPr>
                <w:rFonts w:ascii="Times New Roman" w:eastAsia="Open Sans Light" w:hAnsi="Times New Roman" w:cs="Times New Roman"/>
                <w:bCs/>
                <w:sz w:val="20"/>
                <w:szCs w:val="20"/>
              </w:rPr>
              <w:t xml:space="preserve"> </w:t>
            </w:r>
            <w:r w:rsidRPr="005E0A86">
              <w:rPr>
                <w:rFonts w:ascii="Times New Roman" w:eastAsia="Open Sans Light" w:hAnsi="Times New Roman" w:cs="Times New Roman"/>
                <w:bCs/>
                <w:sz w:val="20"/>
                <w:szCs w:val="20"/>
              </w:rPr>
              <w:t>3a. „W przypadku ustalenia, że podmiot posiada zbywalny majątek, a nie wykonuje obowiązku złożenia wniosku o wpis do Rejestru lub</w:t>
            </w:r>
          </w:p>
          <w:p w14:paraId="4A0C35C1" w14:textId="77777777" w:rsidR="005E0A86" w:rsidRPr="005E0A86" w:rsidRDefault="005E0A86" w:rsidP="005E0A86">
            <w:pPr>
              <w:jc w:val="both"/>
              <w:rPr>
                <w:rFonts w:ascii="Times New Roman" w:eastAsia="Open Sans Light" w:hAnsi="Times New Roman" w:cs="Times New Roman"/>
                <w:bCs/>
                <w:sz w:val="20"/>
                <w:szCs w:val="20"/>
              </w:rPr>
            </w:pPr>
            <w:r w:rsidRPr="005E0A86">
              <w:rPr>
                <w:rFonts w:ascii="Times New Roman" w:eastAsia="Open Sans Light" w:hAnsi="Times New Roman" w:cs="Times New Roman"/>
                <w:bCs/>
                <w:sz w:val="20"/>
                <w:szCs w:val="20"/>
              </w:rPr>
              <w:t>dokumentów, których złożenie jest obowiązkowe, sąd rejestrowy wzywa podmiot do wykonania obowiązku – wyznaczając dodatkowy 7-dniowy termin. Przepisy art. 24 ust. 3 i 4 stosuje się odpowiednio. 3b. Jeżeli postępowanie mające na celu egzekucję grzywny nałożonej w postępowaniu o rozwiązanie podmiotu wpisanego do Rejestru bez przeprowadzania postępowania likwidacyjnego zostało umorzone na podstawie art. 824 § 1 pkt 3 Kodeksu postępowania cywilnego, sąd rejestrowy orzeka o rozwiązaniu podmiotu wpisanego do Rejestru bez przeprowadzania postępowania likwidacyjnego, chyba że zachodzą podstawy do umorzenia postępowania”. Przyjęty model postępowania oznacza, iż jedynie w przypadku, gdy w postępowaniu o rozwiązanie podmiotu bez przeprowadzania postępowania likwidacyjnego zostanie ustalone, że spółka posiada majątek zbywalny w istocie stosowane są środki przymusu w postaci nakładanej na obowiązany podmiot grzywny. Doświadczenia sądu rejestrowego wskazują jednak, iż w toku w/w postępowania o rozwiązanie podmiotu bez przeprowadzania likwidacji stwierdzane są sytuacje, w których podmiot nie posiada majątku zbywalnego ale faktycznie prowadzi działalność (np. składa aktualne deklaracje podatkowe).</w:t>
            </w:r>
          </w:p>
          <w:p w14:paraId="2CC846FA" w14:textId="5176FF16" w:rsidR="005E0A86" w:rsidRPr="001E5FE3" w:rsidRDefault="005E0A86" w:rsidP="005E0A86">
            <w:pPr>
              <w:jc w:val="both"/>
              <w:rPr>
                <w:rFonts w:ascii="Times New Roman" w:eastAsia="Open Sans Light" w:hAnsi="Times New Roman" w:cs="Times New Roman"/>
                <w:bCs/>
                <w:sz w:val="20"/>
                <w:szCs w:val="20"/>
              </w:rPr>
            </w:pPr>
            <w:r w:rsidRPr="005E0A86">
              <w:rPr>
                <w:rFonts w:ascii="Times New Roman" w:eastAsia="Open Sans Light" w:hAnsi="Times New Roman" w:cs="Times New Roman"/>
                <w:bCs/>
                <w:sz w:val="20"/>
                <w:szCs w:val="20"/>
              </w:rPr>
              <w:t xml:space="preserve">Przenosząc powyższy stan faktyczny na proponowaną regulację oznacza to obowiązek umorzenia postępowania o rozwiązanie podmiotu bez przeprowadzania likwidacji i o jego wykreślenie z rejestru bez jednoczesnego zastosowania środków przymusu. Jedynym i wyłącznym skutkiem dla takiego podmiotu, który </w:t>
            </w:r>
            <w:r w:rsidRPr="005E0A86">
              <w:rPr>
                <w:rFonts w:ascii="Times New Roman" w:eastAsia="Open Sans Light" w:hAnsi="Times New Roman" w:cs="Times New Roman"/>
                <w:bCs/>
                <w:sz w:val="20"/>
                <w:szCs w:val="20"/>
              </w:rPr>
              <w:lastRenderedPageBreak/>
              <w:t>faktycznie prowadzi działalność gospodarczą jest dalej istniejąca w Rejestrze wzmianka o niewykonaniu obowiązku złożenia dokumentów finansowych.</w:t>
            </w:r>
          </w:p>
        </w:tc>
        <w:tc>
          <w:tcPr>
            <w:tcW w:w="4076" w:type="dxa"/>
          </w:tcPr>
          <w:p w14:paraId="0FEAE964" w14:textId="77777777" w:rsidR="005E0A86" w:rsidRDefault="002471AD"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nieaktualna</w:t>
            </w:r>
          </w:p>
          <w:p w14:paraId="1A57C255" w14:textId="385AD8FC" w:rsidR="002471AD" w:rsidRPr="002471AD" w:rsidRDefault="002471AD" w:rsidP="001E5FE3">
            <w:pPr>
              <w:autoSpaceDE w:val="0"/>
              <w:autoSpaceDN w:val="0"/>
              <w:adjustRightInd w:val="0"/>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Wyjaśnienia jak wyżej.</w:t>
            </w:r>
          </w:p>
        </w:tc>
      </w:tr>
      <w:tr w:rsidR="003E602F" w:rsidRPr="005134B0" w14:paraId="3FAE7076" w14:textId="77777777" w:rsidTr="00B241C8">
        <w:trPr>
          <w:jc w:val="center"/>
        </w:trPr>
        <w:tc>
          <w:tcPr>
            <w:tcW w:w="562" w:type="dxa"/>
          </w:tcPr>
          <w:p w14:paraId="519CF076" w14:textId="42E778A8" w:rsidR="003E602F" w:rsidRPr="005134B0" w:rsidRDefault="003E602F"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33.</w:t>
            </w:r>
          </w:p>
        </w:tc>
        <w:tc>
          <w:tcPr>
            <w:tcW w:w="1843" w:type="dxa"/>
            <w:vAlign w:val="center"/>
          </w:tcPr>
          <w:p w14:paraId="0CC1BB2F" w14:textId="65A27B13" w:rsidR="003E602F" w:rsidRPr="001E5FE3" w:rsidRDefault="003E602F"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Poznaniu</w:t>
            </w:r>
          </w:p>
        </w:tc>
        <w:tc>
          <w:tcPr>
            <w:tcW w:w="1843" w:type="dxa"/>
            <w:vAlign w:val="center"/>
          </w:tcPr>
          <w:p w14:paraId="7F36A528" w14:textId="2381F6EF" w:rsidR="003E602F" w:rsidRPr="001E5FE3" w:rsidRDefault="003E602F" w:rsidP="00F43ABB">
            <w:pPr>
              <w:spacing w:before="120" w:after="120"/>
              <w:jc w:val="both"/>
              <w:rPr>
                <w:rFonts w:ascii="Times New Roman" w:hAnsi="Times New Roman" w:cs="Times New Roman"/>
                <w:bCs/>
                <w:sz w:val="20"/>
                <w:szCs w:val="20"/>
              </w:rPr>
            </w:pPr>
            <w:r w:rsidRPr="003E602F">
              <w:rPr>
                <w:rFonts w:ascii="Times New Roman" w:hAnsi="Times New Roman" w:cs="Times New Roman"/>
                <w:bCs/>
                <w:sz w:val="20"/>
                <w:szCs w:val="20"/>
              </w:rPr>
              <w:t>art. 1 pkt 18 lit. c</w:t>
            </w:r>
            <w:r>
              <w:rPr>
                <w:rFonts w:ascii="Times New Roman" w:hAnsi="Times New Roman" w:cs="Times New Roman"/>
                <w:bCs/>
                <w:sz w:val="20"/>
                <w:szCs w:val="20"/>
              </w:rPr>
              <w:t xml:space="preserve"> (</w:t>
            </w:r>
            <w:r w:rsidRPr="003E602F">
              <w:rPr>
                <w:rFonts w:ascii="Times New Roman" w:hAnsi="Times New Roman" w:cs="Times New Roman"/>
                <w:bCs/>
                <w:sz w:val="20"/>
                <w:szCs w:val="20"/>
              </w:rPr>
              <w:t>art. 25d ust. 3b u</w:t>
            </w:r>
            <w:r>
              <w:rPr>
                <w:rFonts w:ascii="Times New Roman" w:hAnsi="Times New Roman" w:cs="Times New Roman"/>
                <w:bCs/>
                <w:sz w:val="20"/>
                <w:szCs w:val="20"/>
              </w:rPr>
              <w:t xml:space="preserve">stawy o </w:t>
            </w:r>
            <w:r w:rsidRPr="003E602F">
              <w:rPr>
                <w:rFonts w:ascii="Times New Roman" w:hAnsi="Times New Roman" w:cs="Times New Roman"/>
                <w:bCs/>
                <w:sz w:val="20"/>
                <w:szCs w:val="20"/>
              </w:rPr>
              <w:t>KRS</w:t>
            </w:r>
            <w:r>
              <w:rPr>
                <w:rFonts w:ascii="Times New Roman" w:hAnsi="Times New Roman" w:cs="Times New Roman"/>
                <w:bCs/>
                <w:sz w:val="20"/>
                <w:szCs w:val="20"/>
              </w:rPr>
              <w:t>)</w:t>
            </w:r>
          </w:p>
        </w:tc>
        <w:tc>
          <w:tcPr>
            <w:tcW w:w="5670" w:type="dxa"/>
            <w:vAlign w:val="center"/>
          </w:tcPr>
          <w:p w14:paraId="6E6ADA60" w14:textId="10D65FFE" w:rsidR="003E602F" w:rsidRPr="001E5FE3" w:rsidRDefault="003E602F" w:rsidP="00ED4ED5">
            <w:pPr>
              <w:jc w:val="both"/>
              <w:rPr>
                <w:rFonts w:ascii="Times New Roman" w:eastAsia="Open Sans Light" w:hAnsi="Times New Roman" w:cs="Times New Roman"/>
                <w:bCs/>
                <w:sz w:val="20"/>
                <w:szCs w:val="20"/>
              </w:rPr>
            </w:pPr>
            <w:r w:rsidRPr="003E602F">
              <w:rPr>
                <w:rFonts w:ascii="Times New Roman" w:eastAsia="Open Sans Light" w:hAnsi="Times New Roman" w:cs="Times New Roman"/>
                <w:bCs/>
                <w:sz w:val="20"/>
                <w:szCs w:val="20"/>
              </w:rPr>
              <w:t>Niewątpliwym błędem jest zawarty w art. 25d ust. 3b fragment o „egzekucji grzywny nałożonej w postępowaniu o rozwiązanie podmiotu …”. Grzywny nie nakłada się bowiem w postępowaniu o rozwiązanie podmiotu, lecz w postępowaniu przymuszającym (por. art. 24 ust. 1b ustawy o KRS).</w:t>
            </w:r>
          </w:p>
        </w:tc>
        <w:tc>
          <w:tcPr>
            <w:tcW w:w="4076" w:type="dxa"/>
          </w:tcPr>
          <w:p w14:paraId="7EFE2A38" w14:textId="4EF41EBE" w:rsidR="003E602F" w:rsidRDefault="003E602F" w:rsidP="001E5FE3">
            <w:pPr>
              <w:autoSpaceDE w:val="0"/>
              <w:autoSpaceDN w:val="0"/>
              <w:adjustRightInd w:val="0"/>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nieaktualna</w:t>
            </w:r>
          </w:p>
          <w:p w14:paraId="144895FB" w14:textId="0E7BFB1D" w:rsidR="003E602F" w:rsidRPr="003E602F" w:rsidRDefault="003E602F" w:rsidP="001E5FE3">
            <w:pPr>
              <w:autoSpaceDE w:val="0"/>
              <w:autoSpaceDN w:val="0"/>
              <w:adjustRightInd w:val="0"/>
              <w:jc w:val="both"/>
              <w:rPr>
                <w:rFonts w:ascii="Times New Roman" w:eastAsia="Times New Roman" w:hAnsi="Times New Roman" w:cs="Times New Roman"/>
                <w:bCs/>
                <w:sz w:val="20"/>
                <w:szCs w:val="20"/>
                <w:lang w:eastAsia="pl-PL"/>
              </w:rPr>
            </w:pPr>
            <w:r w:rsidRPr="003E602F">
              <w:rPr>
                <w:rFonts w:ascii="Times New Roman" w:eastAsia="Times New Roman" w:hAnsi="Times New Roman" w:cs="Times New Roman"/>
                <w:bCs/>
                <w:sz w:val="20"/>
                <w:szCs w:val="20"/>
                <w:lang w:eastAsia="pl-PL"/>
              </w:rPr>
              <w:t>Grzywna miała być nakładana w postępowaniu o rozwiązaniu podmiotu b</w:t>
            </w:r>
            <w:r w:rsidR="00154288">
              <w:rPr>
                <w:rFonts w:ascii="Times New Roman" w:eastAsia="Times New Roman" w:hAnsi="Times New Roman" w:cs="Times New Roman"/>
                <w:bCs/>
                <w:sz w:val="20"/>
                <w:szCs w:val="20"/>
                <w:lang w:eastAsia="pl-PL"/>
              </w:rPr>
              <w:t>ez przeprowadzania likwidacji</w:t>
            </w:r>
            <w:r w:rsidRPr="003E602F">
              <w:rPr>
                <w:rFonts w:ascii="Times New Roman" w:eastAsia="Times New Roman" w:hAnsi="Times New Roman" w:cs="Times New Roman"/>
                <w:bCs/>
                <w:sz w:val="20"/>
                <w:szCs w:val="20"/>
                <w:lang w:eastAsia="pl-PL"/>
              </w:rPr>
              <w:t>. Jednak po przeprowadzonej dodatkowej analizie projektodawca rezygnuje z dodania ust. 3a i 3b w art. 25d.</w:t>
            </w:r>
          </w:p>
        </w:tc>
      </w:tr>
      <w:tr w:rsidR="00894A68" w:rsidRPr="005134B0" w14:paraId="15A7201A" w14:textId="77777777" w:rsidTr="00B241C8">
        <w:trPr>
          <w:jc w:val="center"/>
        </w:trPr>
        <w:tc>
          <w:tcPr>
            <w:tcW w:w="562" w:type="dxa"/>
          </w:tcPr>
          <w:p w14:paraId="2054C3AF" w14:textId="56038CBD" w:rsidR="00894A68" w:rsidRPr="005134B0" w:rsidRDefault="00894A68"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34.</w:t>
            </w:r>
          </w:p>
        </w:tc>
        <w:tc>
          <w:tcPr>
            <w:tcW w:w="1843" w:type="dxa"/>
            <w:vAlign w:val="center"/>
          </w:tcPr>
          <w:p w14:paraId="6EE3DFD9" w14:textId="5D2ECC2B" w:rsidR="00894A68" w:rsidRPr="001E5FE3" w:rsidRDefault="00894A68" w:rsidP="00F43AB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SA w Warszawie</w:t>
            </w:r>
          </w:p>
        </w:tc>
        <w:tc>
          <w:tcPr>
            <w:tcW w:w="1843" w:type="dxa"/>
            <w:vAlign w:val="center"/>
          </w:tcPr>
          <w:p w14:paraId="370F686A" w14:textId="4FAF05A0" w:rsidR="00894A68" w:rsidRPr="006321C8" w:rsidRDefault="00894A68" w:rsidP="00F43ABB">
            <w:pPr>
              <w:spacing w:before="120" w:after="120"/>
              <w:jc w:val="both"/>
              <w:rPr>
                <w:rFonts w:ascii="Times New Roman" w:hAnsi="Times New Roman" w:cs="Times New Roman"/>
                <w:bCs/>
                <w:sz w:val="20"/>
                <w:szCs w:val="20"/>
                <w:lang w:val="en-GB"/>
              </w:rPr>
            </w:pPr>
            <w:r w:rsidRPr="006321C8">
              <w:rPr>
                <w:rFonts w:ascii="Times New Roman" w:hAnsi="Times New Roman" w:cs="Times New Roman"/>
                <w:bCs/>
                <w:sz w:val="20"/>
                <w:szCs w:val="20"/>
                <w:lang w:val="en-GB"/>
              </w:rPr>
              <w:t xml:space="preserve">art. 3 </w:t>
            </w:r>
            <w:proofErr w:type="spellStart"/>
            <w:r w:rsidRPr="006321C8">
              <w:rPr>
                <w:rFonts w:ascii="Times New Roman" w:hAnsi="Times New Roman" w:cs="Times New Roman"/>
                <w:bCs/>
                <w:sz w:val="20"/>
                <w:szCs w:val="20"/>
                <w:lang w:val="en-GB"/>
              </w:rPr>
              <w:t>pkt</w:t>
            </w:r>
            <w:proofErr w:type="spellEnd"/>
            <w:r w:rsidRPr="006321C8">
              <w:rPr>
                <w:rFonts w:ascii="Times New Roman" w:hAnsi="Times New Roman" w:cs="Times New Roman"/>
                <w:bCs/>
                <w:sz w:val="20"/>
                <w:szCs w:val="20"/>
                <w:lang w:val="en-GB"/>
              </w:rPr>
              <w:t xml:space="preserve"> 3 lit. b (art. 694(3a) § 3 </w:t>
            </w:r>
            <w:proofErr w:type="spellStart"/>
            <w:r w:rsidRPr="006321C8">
              <w:rPr>
                <w:rFonts w:ascii="Times New Roman" w:hAnsi="Times New Roman" w:cs="Times New Roman"/>
                <w:bCs/>
                <w:sz w:val="20"/>
                <w:szCs w:val="20"/>
                <w:lang w:val="en-GB"/>
              </w:rPr>
              <w:t>k.p.c</w:t>
            </w:r>
            <w:proofErr w:type="spellEnd"/>
            <w:r w:rsidRPr="006321C8">
              <w:rPr>
                <w:rFonts w:ascii="Times New Roman" w:hAnsi="Times New Roman" w:cs="Times New Roman"/>
                <w:bCs/>
                <w:sz w:val="20"/>
                <w:szCs w:val="20"/>
                <w:lang w:val="en-GB"/>
              </w:rPr>
              <w:t>.)</w:t>
            </w:r>
          </w:p>
        </w:tc>
        <w:tc>
          <w:tcPr>
            <w:tcW w:w="5670" w:type="dxa"/>
            <w:vAlign w:val="center"/>
          </w:tcPr>
          <w:p w14:paraId="65258997" w14:textId="1BAB1E73" w:rsidR="00894A68" w:rsidRPr="001E5FE3" w:rsidRDefault="00894A68" w:rsidP="00ED4ED5">
            <w:pPr>
              <w:jc w:val="both"/>
              <w:rPr>
                <w:rFonts w:ascii="Times New Roman" w:eastAsia="Open Sans Light" w:hAnsi="Times New Roman" w:cs="Times New Roman"/>
                <w:bCs/>
                <w:sz w:val="20"/>
                <w:szCs w:val="20"/>
              </w:rPr>
            </w:pPr>
            <w:r w:rsidRPr="00894A68">
              <w:rPr>
                <w:rFonts w:ascii="Times New Roman" w:eastAsia="Open Sans Light" w:hAnsi="Times New Roman" w:cs="Times New Roman"/>
                <w:bCs/>
                <w:sz w:val="20"/>
                <w:szCs w:val="20"/>
              </w:rPr>
              <w:t>jeżeli ……….przewodniczący wzywa do wniesienia pisma za pośrednictwem systemu teleinformatycznego w terminie tygodniowym …..uściślenie nie przewodniczący tylko osoba prowadząca sprawę</w:t>
            </w:r>
          </w:p>
        </w:tc>
        <w:tc>
          <w:tcPr>
            <w:tcW w:w="4076" w:type="dxa"/>
          </w:tcPr>
          <w:p w14:paraId="492CE5EC" w14:textId="3C425F7F" w:rsidR="00894A68" w:rsidRDefault="00894A68" w:rsidP="001E5FE3">
            <w:pPr>
              <w:autoSpaceDE w:val="0"/>
              <w:autoSpaceDN w:val="0"/>
              <w:adjustRightInd w:val="0"/>
              <w:jc w:val="both"/>
              <w:rPr>
                <w:rFonts w:ascii="Times New Roman" w:eastAsia="Times New Roman" w:hAnsi="Times New Roman" w:cs="Times New Roman"/>
                <w:b/>
                <w:sz w:val="20"/>
                <w:szCs w:val="20"/>
                <w:lang w:eastAsia="pl-PL"/>
              </w:rPr>
            </w:pPr>
            <w:r w:rsidRPr="00894A68">
              <w:rPr>
                <w:rFonts w:ascii="Times New Roman" w:eastAsia="Times New Roman" w:hAnsi="Times New Roman" w:cs="Times New Roman"/>
                <w:b/>
                <w:sz w:val="20"/>
                <w:szCs w:val="20"/>
                <w:lang w:eastAsia="pl-PL"/>
              </w:rPr>
              <w:t>Uwaga</w:t>
            </w:r>
            <w:r>
              <w:rPr>
                <w:rFonts w:ascii="Times New Roman" w:eastAsia="Times New Roman" w:hAnsi="Times New Roman" w:cs="Times New Roman"/>
                <w:b/>
                <w:sz w:val="20"/>
                <w:szCs w:val="20"/>
                <w:lang w:eastAsia="pl-PL"/>
              </w:rPr>
              <w:t xml:space="preserve"> nieuwzględniona</w:t>
            </w:r>
          </w:p>
          <w:p w14:paraId="6C1C52F3" w14:textId="2D199319" w:rsidR="00894A68" w:rsidRPr="00894A68" w:rsidRDefault="00894A68" w:rsidP="001E5FE3">
            <w:pPr>
              <w:autoSpaceDE w:val="0"/>
              <w:autoSpaceDN w:val="0"/>
              <w:adjustRightInd w:val="0"/>
              <w:jc w:val="both"/>
              <w:rPr>
                <w:rFonts w:ascii="Times New Roman" w:eastAsia="Times New Roman" w:hAnsi="Times New Roman" w:cs="Times New Roman"/>
                <w:bCs/>
                <w:sz w:val="20"/>
                <w:szCs w:val="20"/>
                <w:lang w:eastAsia="pl-PL"/>
              </w:rPr>
            </w:pPr>
            <w:r w:rsidRPr="00894A68">
              <w:rPr>
                <w:rFonts w:ascii="Times New Roman" w:eastAsia="Times New Roman" w:hAnsi="Times New Roman" w:cs="Times New Roman"/>
                <w:bCs/>
                <w:sz w:val="20"/>
                <w:szCs w:val="20"/>
                <w:lang w:eastAsia="pl-PL"/>
              </w:rPr>
              <w:t>Oczywistym jest, że jeżeli w przepisach mowa jest o przewodniczącym to jest nim przewodniczący składu rozpoznającego czyli  osoba rozpoznająca sprawę, a nie przewodniczący wydziału.</w:t>
            </w:r>
          </w:p>
        </w:tc>
      </w:tr>
      <w:tr w:rsidR="008330CD" w:rsidRPr="005134B0" w14:paraId="7B66E80B" w14:textId="77777777" w:rsidTr="00B241C8">
        <w:trPr>
          <w:jc w:val="center"/>
        </w:trPr>
        <w:tc>
          <w:tcPr>
            <w:tcW w:w="562" w:type="dxa"/>
          </w:tcPr>
          <w:p w14:paraId="0DED581E" w14:textId="726024E9" w:rsidR="008330CD" w:rsidRPr="005134B0" w:rsidRDefault="008D4A0B" w:rsidP="00F43AB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35.</w:t>
            </w:r>
          </w:p>
        </w:tc>
        <w:tc>
          <w:tcPr>
            <w:tcW w:w="1843" w:type="dxa"/>
            <w:vAlign w:val="center"/>
          </w:tcPr>
          <w:p w14:paraId="655A1FCF" w14:textId="637C1585" w:rsidR="008330CD" w:rsidRPr="001E5FE3" w:rsidRDefault="001E5FE3" w:rsidP="00F43ABB">
            <w:pPr>
              <w:spacing w:before="120" w:after="120"/>
              <w:jc w:val="both"/>
              <w:rPr>
                <w:rFonts w:ascii="Times New Roman" w:hAnsi="Times New Roman" w:cs="Times New Roman"/>
                <w:bCs/>
                <w:sz w:val="20"/>
                <w:szCs w:val="20"/>
              </w:rPr>
            </w:pPr>
            <w:r w:rsidRPr="001E5FE3">
              <w:rPr>
                <w:rFonts w:ascii="Times New Roman" w:hAnsi="Times New Roman" w:cs="Times New Roman"/>
                <w:bCs/>
                <w:sz w:val="20"/>
                <w:szCs w:val="20"/>
              </w:rPr>
              <w:t>Krajowa Rada Notarialna</w:t>
            </w:r>
          </w:p>
        </w:tc>
        <w:tc>
          <w:tcPr>
            <w:tcW w:w="1843" w:type="dxa"/>
            <w:vAlign w:val="center"/>
          </w:tcPr>
          <w:p w14:paraId="4D8328C8" w14:textId="0BAA5B68" w:rsidR="008330CD" w:rsidRPr="001E5FE3" w:rsidRDefault="001E5FE3" w:rsidP="00F43ABB">
            <w:pPr>
              <w:spacing w:before="120" w:after="120"/>
              <w:jc w:val="both"/>
              <w:rPr>
                <w:rFonts w:ascii="Times New Roman" w:hAnsi="Times New Roman" w:cs="Times New Roman"/>
                <w:bCs/>
                <w:sz w:val="20"/>
                <w:szCs w:val="20"/>
              </w:rPr>
            </w:pPr>
            <w:r w:rsidRPr="001E5FE3">
              <w:rPr>
                <w:rFonts w:ascii="Times New Roman" w:hAnsi="Times New Roman" w:cs="Times New Roman"/>
                <w:bCs/>
                <w:sz w:val="20"/>
                <w:szCs w:val="20"/>
              </w:rPr>
              <w:t xml:space="preserve">Art. </w:t>
            </w:r>
            <w:r w:rsidR="00C4751A">
              <w:rPr>
                <w:rFonts w:ascii="Times New Roman" w:hAnsi="Times New Roman" w:cs="Times New Roman"/>
                <w:bCs/>
                <w:sz w:val="20"/>
                <w:szCs w:val="20"/>
              </w:rPr>
              <w:t>4 pkt 2</w:t>
            </w:r>
            <w:r w:rsidRPr="001E5FE3">
              <w:rPr>
                <w:rFonts w:ascii="Times New Roman" w:hAnsi="Times New Roman" w:cs="Times New Roman"/>
                <w:bCs/>
                <w:sz w:val="20"/>
                <w:szCs w:val="20"/>
              </w:rPr>
              <w:t xml:space="preserve"> (art. 92  §  5a ustawy – Prawo o notariacie)</w:t>
            </w:r>
          </w:p>
        </w:tc>
        <w:tc>
          <w:tcPr>
            <w:tcW w:w="5670" w:type="dxa"/>
            <w:vAlign w:val="center"/>
          </w:tcPr>
          <w:p w14:paraId="3BC05FAA" w14:textId="4462C5FD" w:rsidR="008330CD" w:rsidRPr="005134B0" w:rsidRDefault="001E5FE3" w:rsidP="00ED4ED5">
            <w:pPr>
              <w:jc w:val="both"/>
              <w:rPr>
                <w:rFonts w:ascii="Times New Roman" w:eastAsia="Open Sans Light" w:hAnsi="Times New Roman" w:cs="Times New Roman"/>
                <w:bCs/>
                <w:sz w:val="20"/>
                <w:szCs w:val="20"/>
              </w:rPr>
            </w:pPr>
            <w:r w:rsidRPr="001E5FE3">
              <w:rPr>
                <w:rFonts w:ascii="Times New Roman" w:eastAsia="Open Sans Light" w:hAnsi="Times New Roman" w:cs="Times New Roman"/>
                <w:bCs/>
                <w:sz w:val="20"/>
                <w:szCs w:val="20"/>
              </w:rPr>
              <w:t>Krajowa Rada Notarialna negatywnie ocenia przyjęte w projekcie ustawy  o zmianie ustawy o Krajowym Rejestrze Sądowym oraz niektórych innych ustaw (numer z wykazu RCL - UDER49), przesłanym przy piśmie Sekretarza Stanu w Ministerstwie Sprawiedliwości z dnia 19 września 2025 r. (DL-111.4392.9.2024), rozwiązania w zakresie, w jakim nakładają one na notariuszy kolejne obowiązki wskazane w proponowanym art. 92 § 5a ustawy— Prawo o notariacie.</w:t>
            </w:r>
          </w:p>
        </w:tc>
        <w:tc>
          <w:tcPr>
            <w:tcW w:w="4076" w:type="dxa"/>
          </w:tcPr>
          <w:p w14:paraId="66010C63" w14:textId="77777777" w:rsidR="001E5FE3" w:rsidRPr="001E5FE3" w:rsidRDefault="001E5FE3" w:rsidP="001E5FE3">
            <w:pPr>
              <w:autoSpaceDE w:val="0"/>
              <w:autoSpaceDN w:val="0"/>
              <w:adjustRightInd w:val="0"/>
              <w:jc w:val="both"/>
              <w:rPr>
                <w:rFonts w:ascii="Times New Roman" w:eastAsia="Times New Roman" w:hAnsi="Times New Roman" w:cs="Times New Roman"/>
                <w:b/>
                <w:sz w:val="20"/>
                <w:szCs w:val="20"/>
                <w:lang w:eastAsia="pl-PL"/>
              </w:rPr>
            </w:pPr>
            <w:r w:rsidRPr="001E5FE3">
              <w:rPr>
                <w:rFonts w:ascii="Times New Roman" w:eastAsia="Times New Roman" w:hAnsi="Times New Roman" w:cs="Times New Roman"/>
                <w:b/>
                <w:sz w:val="20"/>
                <w:szCs w:val="20"/>
                <w:lang w:eastAsia="pl-PL"/>
              </w:rPr>
              <w:t>Uwaga nieaktualna</w:t>
            </w:r>
          </w:p>
          <w:p w14:paraId="5E22E2E2" w14:textId="51450CA1" w:rsidR="007B648A" w:rsidRPr="007B648A" w:rsidRDefault="001E5FE3" w:rsidP="001E5FE3">
            <w:pPr>
              <w:autoSpaceDE w:val="0"/>
              <w:autoSpaceDN w:val="0"/>
              <w:adjustRightInd w:val="0"/>
              <w:jc w:val="both"/>
              <w:rPr>
                <w:rFonts w:ascii="Times New Roman" w:eastAsia="Times New Roman" w:hAnsi="Times New Roman" w:cs="Times New Roman"/>
                <w:bCs/>
                <w:sz w:val="20"/>
                <w:szCs w:val="20"/>
                <w:lang w:eastAsia="pl-PL"/>
              </w:rPr>
            </w:pPr>
            <w:r w:rsidRPr="001E5FE3">
              <w:rPr>
                <w:rFonts w:ascii="Times New Roman" w:eastAsia="Times New Roman" w:hAnsi="Times New Roman" w:cs="Times New Roman"/>
                <w:bCs/>
                <w:sz w:val="20"/>
                <w:szCs w:val="20"/>
                <w:lang w:eastAsia="pl-PL"/>
              </w:rPr>
              <w:t>Projektodawca zrezygnował z dodania § 5 w art. 92a ustawy - Prawo o notariacie.</w:t>
            </w:r>
          </w:p>
        </w:tc>
      </w:tr>
      <w:tr w:rsidR="00E33F01" w:rsidRPr="005134B0" w14:paraId="3733053E" w14:textId="77777777" w:rsidTr="00B241C8">
        <w:trPr>
          <w:jc w:val="center"/>
        </w:trPr>
        <w:tc>
          <w:tcPr>
            <w:tcW w:w="562" w:type="dxa"/>
          </w:tcPr>
          <w:p w14:paraId="3F2F78C3" w14:textId="7B40EC76" w:rsidR="00E33F01" w:rsidRPr="005134B0" w:rsidRDefault="00E33F01" w:rsidP="00E33F01">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36.</w:t>
            </w:r>
          </w:p>
        </w:tc>
        <w:tc>
          <w:tcPr>
            <w:tcW w:w="1843" w:type="dxa"/>
            <w:vAlign w:val="center"/>
          </w:tcPr>
          <w:p w14:paraId="1B389819" w14:textId="22CDB00A" w:rsidR="00E33F01" w:rsidRPr="005134B0" w:rsidRDefault="00E33F01" w:rsidP="00E33F01">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652FC6F4" w14:textId="5DD4C160" w:rsidR="00E33F01" w:rsidRPr="005134B0" w:rsidRDefault="00E33F01" w:rsidP="00E33F01">
            <w:pPr>
              <w:spacing w:before="120" w:after="120"/>
              <w:jc w:val="both"/>
              <w:rPr>
                <w:rFonts w:ascii="Times New Roman" w:hAnsi="Times New Roman" w:cs="Times New Roman"/>
                <w:bCs/>
                <w:sz w:val="20"/>
                <w:szCs w:val="20"/>
              </w:rPr>
            </w:pPr>
            <w:r>
              <w:rPr>
                <w:rFonts w:ascii="Times New Roman" w:hAnsi="Times New Roman" w:cs="Times New Roman"/>
                <w:bCs/>
                <w:sz w:val="20"/>
                <w:szCs w:val="20"/>
              </w:rPr>
              <w:t xml:space="preserve">art. 4 </w:t>
            </w:r>
            <w:r w:rsidRPr="008D4A0B">
              <w:rPr>
                <w:rFonts w:ascii="Times New Roman" w:hAnsi="Times New Roman" w:cs="Times New Roman"/>
                <w:bCs/>
                <w:sz w:val="20"/>
                <w:szCs w:val="20"/>
              </w:rPr>
              <w:t>(art. 92  §  5a ustawy – Prawo o notariacie)</w:t>
            </w:r>
          </w:p>
        </w:tc>
        <w:tc>
          <w:tcPr>
            <w:tcW w:w="5670" w:type="dxa"/>
            <w:vAlign w:val="center"/>
          </w:tcPr>
          <w:p w14:paraId="4C387BEC" w14:textId="7C16A6DA" w:rsidR="00E33F01" w:rsidRPr="008D4A0B" w:rsidRDefault="00E33F01" w:rsidP="00462DBB">
            <w:pPr>
              <w:jc w:val="both"/>
              <w:rPr>
                <w:rFonts w:ascii="Times New Roman" w:eastAsia="Times New Roman" w:hAnsi="Times New Roman" w:cs="Times New Roman"/>
                <w:bCs/>
                <w:sz w:val="20"/>
                <w:szCs w:val="20"/>
                <w:lang w:eastAsia="pl-PL"/>
              </w:rPr>
            </w:pPr>
            <w:r w:rsidRPr="008D4A0B">
              <w:rPr>
                <w:rFonts w:ascii="Times New Roman" w:eastAsia="Times New Roman" w:hAnsi="Times New Roman" w:cs="Times New Roman"/>
                <w:bCs/>
                <w:sz w:val="20"/>
                <w:szCs w:val="20"/>
                <w:lang w:eastAsia="pl-PL"/>
              </w:rPr>
              <w:t xml:space="preserve">Wymaga wskazania, że nakładanie na notariuszy kolejnych obowiązków w projekcie ustawy planowanej w ramach tzw. pakietu ustaw </w:t>
            </w:r>
            <w:proofErr w:type="spellStart"/>
            <w:r w:rsidRPr="008D4A0B">
              <w:rPr>
                <w:rFonts w:ascii="Times New Roman" w:eastAsia="Times New Roman" w:hAnsi="Times New Roman" w:cs="Times New Roman"/>
                <w:bCs/>
                <w:sz w:val="20"/>
                <w:szCs w:val="20"/>
                <w:lang w:eastAsia="pl-PL"/>
              </w:rPr>
              <w:t>deregulacyjnych</w:t>
            </w:r>
            <w:proofErr w:type="spellEnd"/>
            <w:r w:rsidRPr="008D4A0B">
              <w:rPr>
                <w:rFonts w:ascii="Times New Roman" w:eastAsia="Times New Roman" w:hAnsi="Times New Roman" w:cs="Times New Roman"/>
                <w:bCs/>
                <w:sz w:val="20"/>
                <w:szCs w:val="20"/>
                <w:lang w:eastAsia="pl-PL"/>
              </w:rPr>
              <w:t>, sprzeczne jest z samą ideą deregulacji. Zgodnie ze słownikiem języka polskiego PWN, deregulacja to „uwolnienie poszczególnych dziedzin życia gospodarczego od regulacyjnego oddziaływania rządu". Natomiast deklarowane publicznie znaczenie deregulacji, mającej być areną „największej zmiany ustrojowej od czasu wejścia Polski do Unii Europejskiej</w:t>
            </w:r>
            <w:r w:rsidR="0088784B">
              <w:rPr>
                <w:rFonts w:ascii="Times New Roman" w:eastAsia="Times New Roman" w:hAnsi="Times New Roman" w:cs="Times New Roman"/>
                <w:bCs/>
                <w:sz w:val="20"/>
                <w:szCs w:val="20"/>
                <w:lang w:eastAsia="pl-PL"/>
              </w:rPr>
              <w:t>”</w:t>
            </w:r>
            <w:r w:rsidRPr="008D4A0B">
              <w:rPr>
                <w:rFonts w:ascii="Times New Roman" w:eastAsia="Times New Roman" w:hAnsi="Times New Roman" w:cs="Times New Roman"/>
                <w:bCs/>
                <w:sz w:val="20"/>
                <w:szCs w:val="20"/>
                <w:lang w:eastAsia="pl-PL"/>
              </w:rPr>
              <w:t>, zgodnie ze słowami Prezesa Rady Ministrów Donalda Tuska oznacza „</w:t>
            </w:r>
            <w:proofErr w:type="spellStart"/>
            <w:r w:rsidRPr="008D4A0B">
              <w:rPr>
                <w:rFonts w:ascii="Times New Roman" w:eastAsia="Times New Roman" w:hAnsi="Times New Roman" w:cs="Times New Roman"/>
                <w:bCs/>
                <w:sz w:val="20"/>
                <w:szCs w:val="20"/>
                <w:lang w:eastAsia="pl-PL"/>
              </w:rPr>
              <w:t>ak</w:t>
            </w:r>
            <w:proofErr w:type="spellEnd"/>
            <w:r w:rsidRPr="008D4A0B">
              <w:rPr>
                <w:rFonts w:ascii="Times New Roman" w:eastAsia="Times New Roman" w:hAnsi="Times New Roman" w:cs="Times New Roman"/>
                <w:bCs/>
                <w:sz w:val="20"/>
                <w:szCs w:val="20"/>
                <w:lang w:eastAsia="pl-PL"/>
              </w:rPr>
              <w:t xml:space="preserve"> naprawdę deregulacja to też uproszczenie wszystkich możliwych procedur, które dotykają obywatela i przedsiębiorstwa każdego dnia. I żeby skończyć z tymi tonami papieru, tymi codziennymi potwierdzeniami jakiś spraw, które można spokojnie sprawdzić w cyberprzestrzeni i za co powinno być coraz bardziej </w:t>
            </w:r>
            <w:r w:rsidRPr="008D4A0B">
              <w:rPr>
                <w:rFonts w:ascii="Times New Roman" w:eastAsia="Times New Roman" w:hAnsi="Times New Roman" w:cs="Times New Roman"/>
                <w:bCs/>
                <w:sz w:val="20"/>
                <w:szCs w:val="20"/>
                <w:lang w:eastAsia="pl-PL"/>
              </w:rPr>
              <w:lastRenderedPageBreak/>
              <w:t xml:space="preserve">odpowiedzialne państwo." . W kontekście powyższych definicji i deklaracji, wskazujących na konieczność wzięcia odpowiedzialności przez Państwo za kwestie biurokratyczne, niewątpliwie sprzeczne z nimi jest obarczenie obowiązkami biurokratycznymi </w:t>
            </w:r>
            <w:proofErr w:type="spellStart"/>
            <w:r w:rsidRPr="008D4A0B">
              <w:rPr>
                <w:rFonts w:ascii="Times New Roman" w:eastAsia="Times New Roman" w:hAnsi="Times New Roman" w:cs="Times New Roman"/>
                <w:bCs/>
                <w:sz w:val="20"/>
                <w:szCs w:val="20"/>
                <w:lang w:eastAsia="pl-PL"/>
              </w:rPr>
              <w:t>mikroprzedsiębiorców</w:t>
            </w:r>
            <w:proofErr w:type="spellEnd"/>
            <w:r w:rsidRPr="008D4A0B">
              <w:rPr>
                <w:rFonts w:ascii="Times New Roman" w:eastAsia="Times New Roman" w:hAnsi="Times New Roman" w:cs="Times New Roman"/>
                <w:bCs/>
                <w:sz w:val="20"/>
                <w:szCs w:val="20"/>
                <w:lang w:eastAsia="pl-PL"/>
              </w:rPr>
              <w:t>, jakimi są notariusze.</w:t>
            </w:r>
          </w:p>
          <w:p w14:paraId="2DF6EC32" w14:textId="77777777" w:rsidR="00E33F01" w:rsidRPr="008D4A0B" w:rsidRDefault="00E33F01" w:rsidP="00462DBB">
            <w:pPr>
              <w:jc w:val="both"/>
              <w:rPr>
                <w:rFonts w:ascii="Times New Roman" w:eastAsia="Times New Roman" w:hAnsi="Times New Roman" w:cs="Times New Roman"/>
                <w:bCs/>
                <w:sz w:val="20"/>
                <w:szCs w:val="20"/>
                <w:lang w:eastAsia="pl-PL"/>
              </w:rPr>
            </w:pPr>
            <w:r w:rsidRPr="008D4A0B">
              <w:rPr>
                <w:rFonts w:ascii="Times New Roman" w:eastAsia="Times New Roman" w:hAnsi="Times New Roman" w:cs="Times New Roman"/>
                <w:bCs/>
                <w:sz w:val="20"/>
                <w:szCs w:val="20"/>
                <w:lang w:eastAsia="pl-PL"/>
              </w:rPr>
              <w:t xml:space="preserve">Trzeba bowiem wskazać, że w kontekście udostępniania akt rejestrowych - uwzględniając regulacje RODO - administratorem danych jest podmiot, który decyduje o celach i sposobach przetwarzania danych. W przypadku Krajowego Rejestru Sądowego rolę tę pełni zatem Minister Sprawiedliwości, a zadania z tym związane realizują sądy rejestrowe. W rezultacie, systemowo i organizacyjnie, a także zgodnie z powyższymi deklaracjami zakładającymi odpowiedzialność Państwa za odciążenie przedsiębiorców od zbędnych procedur, naturalnym kierunkiem nałożenia ewentualnych obowiązków </w:t>
            </w:r>
            <w:proofErr w:type="spellStart"/>
            <w:r w:rsidRPr="008D4A0B">
              <w:rPr>
                <w:rFonts w:ascii="Times New Roman" w:eastAsia="Times New Roman" w:hAnsi="Times New Roman" w:cs="Times New Roman"/>
                <w:bCs/>
                <w:sz w:val="20"/>
                <w:szCs w:val="20"/>
                <w:lang w:eastAsia="pl-PL"/>
              </w:rPr>
              <w:t>anonimizacji</w:t>
            </w:r>
            <w:proofErr w:type="spellEnd"/>
            <w:r w:rsidRPr="008D4A0B">
              <w:rPr>
                <w:rFonts w:ascii="Times New Roman" w:eastAsia="Times New Roman" w:hAnsi="Times New Roman" w:cs="Times New Roman"/>
                <w:bCs/>
                <w:sz w:val="20"/>
                <w:szCs w:val="20"/>
                <w:lang w:eastAsia="pl-PL"/>
              </w:rPr>
              <w:t xml:space="preserve"> musi być uznanie, że odpowiedzialność ta powinna odbywać się z wykorzystaniem sił, środków i struktur Ministerstwa Sprawiedliwości. To Ministerstwo Sprawiedliwości odpowiedzialne jest organizacyjnie i finansowo za funkcjonowanie sądownictwa, w tym za funkcjonowanie sądów rejestrowych i ich sekretariatów.</w:t>
            </w:r>
          </w:p>
          <w:p w14:paraId="74CFFD5F" w14:textId="174D0CAB" w:rsidR="00E33F01" w:rsidRPr="008D4A0B" w:rsidRDefault="00E33F01" w:rsidP="00462DBB">
            <w:pPr>
              <w:jc w:val="both"/>
              <w:rPr>
                <w:rFonts w:ascii="Times New Roman" w:eastAsia="Times New Roman" w:hAnsi="Times New Roman" w:cs="Times New Roman"/>
                <w:bCs/>
                <w:sz w:val="20"/>
                <w:szCs w:val="20"/>
                <w:lang w:eastAsia="pl-PL"/>
              </w:rPr>
            </w:pPr>
            <w:r w:rsidRPr="008D4A0B">
              <w:rPr>
                <w:rFonts w:ascii="Times New Roman" w:eastAsia="Times New Roman" w:hAnsi="Times New Roman" w:cs="Times New Roman"/>
                <w:bCs/>
                <w:sz w:val="20"/>
                <w:szCs w:val="20"/>
                <w:lang w:eastAsia="pl-PL"/>
              </w:rPr>
              <w:t xml:space="preserve">Jak wskazano w ocenie skutków regulacji, „Projektowana regulacja wpłynie na zwiększenie obowiązkowego nakładu pracy po strome notariuszy. W konsekwencji przyjęcia nowych przepisów notariusz (w przypadku spółek) będzie musiał sporządzać praktycznie 2 osobne dokumenty: elektroniczny wypis (tak jak dotychczas) oraz elektroniczny, zanonimizowany wyciąg aktu notarialnego.". Podkreślono    nadto przerzucenie odpowiedzialności określonej w przepisach dotyczących ochrony danych osobowych: „Podkreślić należy również, że na notariuszy spadnie odpowiedzialność określona w przepisach RODO z tytułu upublicznienia niewłaściwych danych (np. niewłaściwy zakres danych w zanonimizowanym wyciągu). Następstwa ewentualnych pomyłek w postaci przesłania niewłaściwego dokumentu (np. pełnego wypisu z wszystkimi danymi osobowymi), </w:t>
            </w:r>
            <w:proofErr w:type="spellStart"/>
            <w:r w:rsidRPr="008D4A0B">
              <w:rPr>
                <w:rFonts w:ascii="Times New Roman" w:eastAsia="Times New Roman" w:hAnsi="Times New Roman" w:cs="Times New Roman"/>
                <w:bCs/>
                <w:sz w:val="20"/>
                <w:szCs w:val="20"/>
                <w:lang w:eastAsia="pl-PL"/>
              </w:rPr>
              <w:t>anonimizacji</w:t>
            </w:r>
            <w:proofErr w:type="spellEnd"/>
            <w:r w:rsidRPr="008D4A0B">
              <w:rPr>
                <w:rFonts w:ascii="Times New Roman" w:eastAsia="Times New Roman" w:hAnsi="Times New Roman" w:cs="Times New Roman"/>
                <w:bCs/>
                <w:sz w:val="20"/>
                <w:szCs w:val="20"/>
                <w:lang w:eastAsia="pl-PL"/>
              </w:rPr>
              <w:t xml:space="preserve"> niewłaściwych danych lub niepełnej </w:t>
            </w:r>
            <w:proofErr w:type="spellStart"/>
            <w:r w:rsidRPr="008D4A0B">
              <w:rPr>
                <w:rFonts w:ascii="Times New Roman" w:eastAsia="Times New Roman" w:hAnsi="Times New Roman" w:cs="Times New Roman"/>
                <w:bCs/>
                <w:sz w:val="20"/>
                <w:szCs w:val="20"/>
                <w:lang w:eastAsia="pl-PL"/>
              </w:rPr>
              <w:t>anonimizacji</w:t>
            </w:r>
            <w:proofErr w:type="spellEnd"/>
            <w:r w:rsidRPr="008D4A0B">
              <w:rPr>
                <w:rFonts w:ascii="Times New Roman" w:eastAsia="Times New Roman" w:hAnsi="Times New Roman" w:cs="Times New Roman"/>
                <w:bCs/>
                <w:sz w:val="20"/>
                <w:szCs w:val="20"/>
                <w:lang w:eastAsia="pl-PL"/>
              </w:rPr>
              <w:t xml:space="preserve"> danych przez przeoczenie obciąży notariuszy, którzy będą z tego tytułu ponosić odpowiedzialność.</w:t>
            </w:r>
            <w:r w:rsidR="0088784B">
              <w:rPr>
                <w:rFonts w:ascii="Times New Roman" w:eastAsia="Times New Roman" w:hAnsi="Times New Roman" w:cs="Times New Roman"/>
                <w:bCs/>
                <w:sz w:val="20"/>
                <w:szCs w:val="20"/>
                <w:lang w:eastAsia="pl-PL"/>
              </w:rPr>
              <w:t>”</w:t>
            </w:r>
            <w:r w:rsidRPr="008D4A0B">
              <w:rPr>
                <w:rFonts w:ascii="Times New Roman" w:eastAsia="Times New Roman" w:hAnsi="Times New Roman" w:cs="Times New Roman"/>
                <w:bCs/>
                <w:sz w:val="20"/>
                <w:szCs w:val="20"/>
                <w:lang w:eastAsia="pl-PL"/>
              </w:rPr>
              <w:t>.</w:t>
            </w:r>
          </w:p>
          <w:p w14:paraId="74F0709B" w14:textId="7DA5D9EE" w:rsidR="00E33F01" w:rsidRPr="005134B0" w:rsidRDefault="00E33F01" w:rsidP="00462DBB">
            <w:pPr>
              <w:jc w:val="both"/>
              <w:rPr>
                <w:rFonts w:ascii="Times New Roman" w:eastAsia="Times New Roman" w:hAnsi="Times New Roman" w:cs="Times New Roman"/>
                <w:bCs/>
                <w:sz w:val="20"/>
                <w:szCs w:val="20"/>
                <w:lang w:eastAsia="pl-PL"/>
              </w:rPr>
            </w:pPr>
            <w:r w:rsidRPr="008D4A0B">
              <w:rPr>
                <w:rFonts w:ascii="Times New Roman" w:eastAsia="Times New Roman" w:hAnsi="Times New Roman" w:cs="Times New Roman"/>
                <w:bCs/>
                <w:sz w:val="20"/>
                <w:szCs w:val="20"/>
                <w:lang w:eastAsia="pl-PL"/>
              </w:rPr>
              <w:lastRenderedPageBreak/>
              <w:t xml:space="preserve">Zarazem wskazuje się w ogólnym uzasadnieniu ustawy, na tle generalnych rozwiązań przerzucających poza podlegające Ministrowi Sprawiedliwości sądy rejestrowe obowiązki </w:t>
            </w:r>
            <w:proofErr w:type="spellStart"/>
            <w:r w:rsidRPr="008D4A0B">
              <w:rPr>
                <w:rFonts w:ascii="Times New Roman" w:eastAsia="Times New Roman" w:hAnsi="Times New Roman" w:cs="Times New Roman"/>
                <w:bCs/>
                <w:sz w:val="20"/>
                <w:szCs w:val="20"/>
                <w:lang w:eastAsia="pl-PL"/>
              </w:rPr>
              <w:t>anonimizacji</w:t>
            </w:r>
            <w:proofErr w:type="spellEnd"/>
            <w:r w:rsidRPr="008D4A0B">
              <w:rPr>
                <w:rFonts w:ascii="Times New Roman" w:eastAsia="Times New Roman" w:hAnsi="Times New Roman" w:cs="Times New Roman"/>
                <w:bCs/>
                <w:sz w:val="20"/>
                <w:szCs w:val="20"/>
                <w:lang w:eastAsia="pl-PL"/>
              </w:rPr>
              <w:t xml:space="preserve"> dokumentów, że "Rozwiązania przewidziane w projektowanym art. 19aa ustawy o KRS w znacznym stopniu ograniczą czynności sądów i sekretariatów sądowych, skracając tym samym czas postępowań rejestrowych.</w:t>
            </w:r>
            <w:r w:rsidR="0088784B">
              <w:rPr>
                <w:rFonts w:ascii="Times New Roman" w:eastAsia="Times New Roman" w:hAnsi="Times New Roman" w:cs="Times New Roman"/>
                <w:bCs/>
                <w:sz w:val="20"/>
                <w:szCs w:val="20"/>
                <w:lang w:eastAsia="pl-PL"/>
              </w:rPr>
              <w:t>”</w:t>
            </w:r>
            <w:r w:rsidRPr="008D4A0B">
              <w:rPr>
                <w:rFonts w:ascii="Times New Roman" w:eastAsia="Times New Roman" w:hAnsi="Times New Roman" w:cs="Times New Roman"/>
                <w:bCs/>
                <w:sz w:val="20"/>
                <w:szCs w:val="20"/>
                <w:lang w:eastAsia="pl-PL"/>
              </w:rPr>
              <w:t xml:space="preserve">. Powyższe stanowi oczywisty dowód, że projektodawca zdaje sobie sprawę ze znacznych konsekwencji  organizacyjnych i  finansowych  przewidzianych rozwiązań, powodujących przerzucenie obowiązku </w:t>
            </w:r>
            <w:proofErr w:type="spellStart"/>
            <w:r w:rsidRPr="008D4A0B">
              <w:rPr>
                <w:rFonts w:ascii="Times New Roman" w:eastAsia="Times New Roman" w:hAnsi="Times New Roman" w:cs="Times New Roman"/>
                <w:bCs/>
                <w:sz w:val="20"/>
                <w:szCs w:val="20"/>
                <w:lang w:eastAsia="pl-PL"/>
              </w:rPr>
              <w:t>anonimizacji</w:t>
            </w:r>
            <w:proofErr w:type="spellEnd"/>
            <w:r w:rsidRPr="008D4A0B">
              <w:rPr>
                <w:rFonts w:ascii="Times New Roman" w:eastAsia="Times New Roman" w:hAnsi="Times New Roman" w:cs="Times New Roman"/>
                <w:bCs/>
                <w:sz w:val="20"/>
                <w:szCs w:val="20"/>
                <w:lang w:eastAsia="pl-PL"/>
              </w:rPr>
              <w:t xml:space="preserve"> z sądów i ich sekretariatów na m.in. notariuszy, nie przewidując zarazem jakichkolwiek rozwiązań mających rekompensować czy redukować wspomniane obciążenia i ryzyka. Co więcej, brak w ocenie skutków regulacji jakichkolwiek wyliczeń, które obejmowałyby realne koszty poniesione przez notariuszy wskutek proponowanego rozwiązania. Stanowi to zatem prostą prywatyzację kosztów funkcjonowania wymiaru sprawiedliwości, poprzez ich przerzucanie na będących poza strukturami Ministerstwa Sprawiedliwości przedsiębiorców w postaci notariuszy. Jest zaś oczywistością, że w perspektywie poszczególnych notariuszy wprowadzenie nowych obowiązków będzie generować poważne obciążenie organizacyjne,  merytoryczne i ekonomiczne, powodując w rezultacie znaczące koszty po ich stronie. Krajowa Rada Notarialna wobec tego stanowczo sprzeciwia się przerzuceniu tej pracy i jej kosztów na zasadzie przymusowego </w:t>
            </w:r>
            <w:r w:rsidR="0088784B">
              <w:rPr>
                <w:rFonts w:ascii="Times New Roman" w:eastAsia="Times New Roman" w:hAnsi="Times New Roman" w:cs="Times New Roman"/>
                <w:bCs/>
                <w:sz w:val="20"/>
                <w:szCs w:val="20"/>
                <w:lang w:eastAsia="pl-PL"/>
              </w:rPr>
              <w:t>„</w:t>
            </w:r>
            <w:r w:rsidRPr="008D4A0B">
              <w:rPr>
                <w:rFonts w:ascii="Times New Roman" w:eastAsia="Times New Roman" w:hAnsi="Times New Roman" w:cs="Times New Roman"/>
                <w:bCs/>
                <w:sz w:val="20"/>
                <w:szCs w:val="20"/>
                <w:lang w:eastAsia="pl-PL"/>
              </w:rPr>
              <w:t>outsourcingu</w:t>
            </w:r>
            <w:r w:rsidR="0088784B">
              <w:rPr>
                <w:rFonts w:ascii="Times New Roman" w:eastAsia="Times New Roman" w:hAnsi="Times New Roman" w:cs="Times New Roman"/>
                <w:bCs/>
                <w:sz w:val="20"/>
                <w:szCs w:val="20"/>
                <w:lang w:eastAsia="pl-PL"/>
              </w:rPr>
              <w:t>”</w:t>
            </w:r>
            <w:r w:rsidRPr="008D4A0B">
              <w:rPr>
                <w:rFonts w:ascii="Times New Roman" w:eastAsia="Times New Roman" w:hAnsi="Times New Roman" w:cs="Times New Roman"/>
                <w:bCs/>
                <w:sz w:val="20"/>
                <w:szCs w:val="20"/>
                <w:lang w:eastAsia="pl-PL"/>
              </w:rPr>
              <w:t xml:space="preserve">, na notariuszy będących niemal bez wyjątku </w:t>
            </w:r>
            <w:proofErr w:type="spellStart"/>
            <w:r w:rsidRPr="008D4A0B">
              <w:rPr>
                <w:rFonts w:ascii="Times New Roman" w:eastAsia="Times New Roman" w:hAnsi="Times New Roman" w:cs="Times New Roman"/>
                <w:bCs/>
                <w:sz w:val="20"/>
                <w:szCs w:val="20"/>
                <w:lang w:eastAsia="pl-PL"/>
              </w:rPr>
              <w:t>mikroprzedsiębiorcanii</w:t>
            </w:r>
            <w:proofErr w:type="spellEnd"/>
            <w:r w:rsidRPr="008D4A0B">
              <w:rPr>
                <w:rFonts w:ascii="Times New Roman" w:eastAsia="Times New Roman" w:hAnsi="Times New Roman" w:cs="Times New Roman"/>
                <w:bCs/>
                <w:sz w:val="20"/>
                <w:szCs w:val="20"/>
                <w:lang w:eastAsia="pl-PL"/>
              </w:rPr>
              <w:t xml:space="preserve">.  Praca ta sprowadza się de facto do "obróbki" technicznej dokumentu mającej na celu odciążenie organów władzy publicznej od realizacji ich działań. Trudno więc nawet w ogólnej perspektywie postrzegać planowane rozwiązania jako </w:t>
            </w:r>
            <w:proofErr w:type="spellStart"/>
            <w:r w:rsidRPr="008D4A0B">
              <w:rPr>
                <w:rFonts w:ascii="Times New Roman" w:eastAsia="Times New Roman" w:hAnsi="Times New Roman" w:cs="Times New Roman"/>
                <w:bCs/>
                <w:sz w:val="20"/>
                <w:szCs w:val="20"/>
                <w:lang w:eastAsia="pl-PL"/>
              </w:rPr>
              <w:t>deregulacyjne</w:t>
            </w:r>
            <w:proofErr w:type="spellEnd"/>
            <w:r w:rsidRPr="008D4A0B">
              <w:rPr>
                <w:rFonts w:ascii="Times New Roman" w:eastAsia="Times New Roman" w:hAnsi="Times New Roman" w:cs="Times New Roman"/>
                <w:bCs/>
                <w:sz w:val="20"/>
                <w:szCs w:val="20"/>
                <w:lang w:eastAsia="pl-PL"/>
              </w:rPr>
              <w:t xml:space="preserve"> albowiem projektowana ustawa nie dotyka żadnych istniejących obecnie procedur czy formalności, a tym bardziej ich nie zmniejsza - wręcz przeciwnie, proponowane rozwiązania są nałożeniem na podmioty prywatne dodatkowych obciążeń pod pozorem deregulacji.</w:t>
            </w:r>
          </w:p>
        </w:tc>
        <w:tc>
          <w:tcPr>
            <w:tcW w:w="4076" w:type="dxa"/>
          </w:tcPr>
          <w:p w14:paraId="3A13C68E" w14:textId="77777777" w:rsidR="00E33F01" w:rsidRPr="001E5FE3" w:rsidRDefault="00E33F01" w:rsidP="00462DBB">
            <w:pPr>
              <w:autoSpaceDE w:val="0"/>
              <w:autoSpaceDN w:val="0"/>
              <w:adjustRightInd w:val="0"/>
              <w:jc w:val="both"/>
              <w:rPr>
                <w:rFonts w:ascii="Times New Roman" w:eastAsia="Times New Roman" w:hAnsi="Times New Roman" w:cs="Times New Roman"/>
                <w:b/>
                <w:sz w:val="20"/>
                <w:szCs w:val="20"/>
                <w:lang w:eastAsia="pl-PL"/>
              </w:rPr>
            </w:pPr>
            <w:r w:rsidRPr="001E5FE3">
              <w:rPr>
                <w:rFonts w:ascii="Times New Roman" w:eastAsia="Times New Roman" w:hAnsi="Times New Roman" w:cs="Times New Roman"/>
                <w:b/>
                <w:sz w:val="20"/>
                <w:szCs w:val="20"/>
                <w:lang w:eastAsia="pl-PL"/>
              </w:rPr>
              <w:lastRenderedPageBreak/>
              <w:t>Uwaga nieaktualna</w:t>
            </w:r>
          </w:p>
          <w:p w14:paraId="471CCEB6" w14:textId="23B50816" w:rsidR="00E33F01" w:rsidRPr="006B496B" w:rsidRDefault="00E33F01" w:rsidP="00462DBB">
            <w:pPr>
              <w:jc w:val="both"/>
              <w:rPr>
                <w:rFonts w:ascii="Times New Roman" w:hAnsi="Times New Roman" w:cs="Times New Roman"/>
                <w:bCs/>
                <w:sz w:val="20"/>
                <w:szCs w:val="20"/>
              </w:rPr>
            </w:pPr>
            <w:r w:rsidRPr="001E5FE3">
              <w:rPr>
                <w:rFonts w:ascii="Times New Roman" w:eastAsia="Times New Roman" w:hAnsi="Times New Roman" w:cs="Times New Roman"/>
                <w:bCs/>
                <w:sz w:val="20"/>
                <w:szCs w:val="20"/>
                <w:lang w:eastAsia="pl-PL"/>
              </w:rPr>
              <w:t>Projektodawca zrezygnował z dodania § 5 w art. 92a ustawy - Prawo o notariacie.</w:t>
            </w:r>
          </w:p>
        </w:tc>
      </w:tr>
      <w:tr w:rsidR="0088784B" w:rsidRPr="005134B0" w14:paraId="5A2AED4D" w14:textId="77777777" w:rsidTr="00B241C8">
        <w:trPr>
          <w:jc w:val="center"/>
        </w:trPr>
        <w:tc>
          <w:tcPr>
            <w:tcW w:w="562" w:type="dxa"/>
          </w:tcPr>
          <w:p w14:paraId="12824B63" w14:textId="5ABA27B4" w:rsidR="0088784B" w:rsidRPr="005134B0" w:rsidRDefault="0088784B"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37.</w:t>
            </w:r>
          </w:p>
        </w:tc>
        <w:tc>
          <w:tcPr>
            <w:tcW w:w="1843" w:type="dxa"/>
            <w:vAlign w:val="center"/>
          </w:tcPr>
          <w:p w14:paraId="2B92E1B1" w14:textId="30CEB2CA" w:rsidR="0088784B" w:rsidRPr="005134B0" w:rsidRDefault="0088784B"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3CE91D24" w14:textId="547F7C86" w:rsidR="0088784B" w:rsidRPr="005134B0" w:rsidRDefault="0088784B" w:rsidP="0088784B">
            <w:pPr>
              <w:spacing w:before="120" w:after="120"/>
              <w:jc w:val="both"/>
              <w:rPr>
                <w:rFonts w:ascii="Times New Roman" w:hAnsi="Times New Roman" w:cs="Times New Roman"/>
                <w:bCs/>
                <w:sz w:val="20"/>
                <w:szCs w:val="20"/>
              </w:rPr>
            </w:pPr>
            <w:r w:rsidRPr="0088784B">
              <w:rPr>
                <w:rFonts w:ascii="Times New Roman" w:hAnsi="Times New Roman" w:cs="Times New Roman"/>
                <w:bCs/>
                <w:sz w:val="20"/>
                <w:szCs w:val="20"/>
              </w:rPr>
              <w:t>art. 4 (art. 92  §  5a ustawy – Prawo o notariacie)</w:t>
            </w:r>
          </w:p>
        </w:tc>
        <w:tc>
          <w:tcPr>
            <w:tcW w:w="5670" w:type="dxa"/>
            <w:vAlign w:val="center"/>
          </w:tcPr>
          <w:p w14:paraId="6E62FE59" w14:textId="332CEB37" w:rsidR="0088784B" w:rsidRPr="0088784B" w:rsidRDefault="0088784B" w:rsidP="00462DBB">
            <w:pPr>
              <w:jc w:val="both"/>
              <w:rPr>
                <w:rFonts w:ascii="Times New Roman" w:eastAsia="Times New Roman" w:hAnsi="Times New Roman" w:cs="Times New Roman"/>
                <w:bCs/>
                <w:sz w:val="20"/>
                <w:szCs w:val="20"/>
                <w:lang w:eastAsia="pl-PL"/>
              </w:rPr>
            </w:pPr>
            <w:r w:rsidRPr="0088784B">
              <w:rPr>
                <w:rFonts w:ascii="Times New Roman" w:eastAsia="Times New Roman" w:hAnsi="Times New Roman" w:cs="Times New Roman"/>
                <w:bCs/>
                <w:sz w:val="20"/>
                <w:szCs w:val="20"/>
                <w:lang w:eastAsia="pl-PL"/>
              </w:rPr>
              <w:t xml:space="preserve">Z pewnością nałożenie na notariuszy dodatkowych obowiązków organizacyjnych, </w:t>
            </w:r>
            <w:r w:rsidR="00341F7C">
              <w:rPr>
                <w:rFonts w:ascii="Times New Roman" w:eastAsia="Times New Roman" w:hAnsi="Times New Roman" w:cs="Times New Roman"/>
                <w:bCs/>
                <w:sz w:val="20"/>
                <w:szCs w:val="20"/>
                <w:lang w:eastAsia="pl-PL"/>
              </w:rPr>
              <w:t>„</w:t>
            </w:r>
            <w:r w:rsidRPr="0088784B">
              <w:rPr>
                <w:rFonts w:ascii="Times New Roman" w:eastAsia="Times New Roman" w:hAnsi="Times New Roman" w:cs="Times New Roman"/>
                <w:bCs/>
                <w:sz w:val="20"/>
                <w:szCs w:val="20"/>
                <w:lang w:eastAsia="pl-PL"/>
              </w:rPr>
              <w:t>zastępujących</w:t>
            </w:r>
            <w:r w:rsidR="00341F7C">
              <w:rPr>
                <w:rFonts w:ascii="Times New Roman" w:eastAsia="Times New Roman" w:hAnsi="Times New Roman" w:cs="Times New Roman"/>
                <w:bCs/>
                <w:sz w:val="20"/>
                <w:szCs w:val="20"/>
                <w:lang w:eastAsia="pl-PL"/>
              </w:rPr>
              <w:t>”</w:t>
            </w:r>
            <w:r w:rsidRPr="0088784B">
              <w:rPr>
                <w:rFonts w:ascii="Times New Roman" w:eastAsia="Times New Roman" w:hAnsi="Times New Roman" w:cs="Times New Roman"/>
                <w:bCs/>
                <w:sz w:val="20"/>
                <w:szCs w:val="20"/>
                <w:lang w:eastAsia="pl-PL"/>
              </w:rPr>
              <w:t xml:space="preserve"> w roli </w:t>
            </w:r>
            <w:proofErr w:type="spellStart"/>
            <w:r w:rsidRPr="0088784B">
              <w:rPr>
                <w:rFonts w:ascii="Times New Roman" w:eastAsia="Times New Roman" w:hAnsi="Times New Roman" w:cs="Times New Roman"/>
                <w:bCs/>
                <w:sz w:val="20"/>
                <w:szCs w:val="20"/>
                <w:lang w:eastAsia="pl-PL"/>
              </w:rPr>
              <w:t>anonimizatora</w:t>
            </w:r>
            <w:proofErr w:type="spellEnd"/>
            <w:r w:rsidRPr="0088784B">
              <w:rPr>
                <w:rFonts w:ascii="Times New Roman" w:eastAsia="Times New Roman" w:hAnsi="Times New Roman" w:cs="Times New Roman"/>
                <w:bCs/>
                <w:sz w:val="20"/>
                <w:szCs w:val="20"/>
                <w:lang w:eastAsia="pl-PL"/>
              </w:rPr>
              <w:t xml:space="preserve"> danych na potrzeby prowadzonej przez Ministerstwo Sprawiedliwości procedury udostępniania danych, nie jest niezbędne dla osiągnięcia oczekiwanego przez projektodawcę celu. W rezultacie ich nałożenie musi budzić poważne wątpliwości z perspektywy zgodności z Konstytucją RP. Zgodnie z art. 22 Konstytucji RP, ograniczenie wolności działalności gospodarczej jest dopuszczalne tylko w drodze ustawy i tylko ze względu na ważny interes publiczny, zaś ocena ewentualnych ograniczeń nakładanych na podmioty prowadzące działalność gospodarczą musi czynić zadość zasadzie proporcjonalności (art. 31 ust. 3 Konstytucji RP). Wobec tego, niezależnie od oceny, czy proponowane rozwiązania realizują „ważny interes publiczny</w:t>
            </w:r>
            <w:r w:rsidR="00341F7C">
              <w:rPr>
                <w:rFonts w:ascii="Times New Roman" w:eastAsia="Times New Roman" w:hAnsi="Times New Roman" w:cs="Times New Roman"/>
                <w:bCs/>
                <w:sz w:val="20"/>
                <w:szCs w:val="20"/>
                <w:lang w:eastAsia="pl-PL"/>
              </w:rPr>
              <w:t>”</w:t>
            </w:r>
            <w:r w:rsidRPr="0088784B">
              <w:rPr>
                <w:rFonts w:ascii="Times New Roman" w:eastAsia="Times New Roman" w:hAnsi="Times New Roman" w:cs="Times New Roman"/>
                <w:bCs/>
                <w:sz w:val="20"/>
                <w:szCs w:val="20"/>
                <w:lang w:eastAsia="pl-PL"/>
              </w:rPr>
              <w:t>, jak się wskazuje w literaturze m.in. w oparciu o orzecznictwo Trybunału Konstytucyjnego, „aby ustanawiane przez organy władzy publicznej ograniczenia wolności działalności gospodarczej były ograniczeniami usprawiedliwionymi (a tym samym by były one konstytucyjnie legalne) muszą być one nie tylko ukierunkowane na realizację ważnego interesu publicznego, ale równocześnie muszą też być względem tego ważnego interesu publicznego proporcjonalne. Proporcjonalność ustanawianych ograniczeń jest zatem kolejną (obligatoryjną) materialną przesłanką usprawiedliwiającą te ograniczenia, przy czym obowiązek spełniania tej przesłanki przez organy władzy publicznej (kreujące ograniczenia wolności działalności gospodarczej) wynika z art. 31 ust. 3, mówiącego o wymogu ""konieczności"" ustanawianych ograniczeń"". Tak przedstawiony wymóg konieczności uważa się za spełniony, gdy kumulatywnie spełnione są następujące przesłanki: „1) środki zastosowane przez prawodawcę muszą być w stanie doprowadzić do zamierzonych celów; 2) muszą one być niezbędne dla ochrony interesu, z którym są powiązane; 3) ich efekty muszą pozostawać w proporcji do ciężarów nakładanych na obywatela</w:t>
            </w:r>
            <w:r>
              <w:rPr>
                <w:rFonts w:ascii="Times New Roman" w:eastAsia="Times New Roman" w:hAnsi="Times New Roman" w:cs="Times New Roman"/>
                <w:bCs/>
                <w:sz w:val="20"/>
                <w:szCs w:val="20"/>
                <w:lang w:eastAsia="pl-PL"/>
              </w:rPr>
              <w:t>”</w:t>
            </w:r>
            <w:r w:rsidRPr="0088784B">
              <w:rPr>
                <w:rFonts w:ascii="Times New Roman" w:eastAsia="Times New Roman" w:hAnsi="Times New Roman" w:cs="Times New Roman"/>
                <w:bCs/>
                <w:sz w:val="20"/>
                <w:szCs w:val="20"/>
                <w:lang w:eastAsia="pl-PL"/>
              </w:rPr>
              <w:t>.</w:t>
            </w:r>
          </w:p>
          <w:p w14:paraId="560FBFC0" w14:textId="747BC0C9" w:rsidR="0088784B" w:rsidRPr="005134B0" w:rsidRDefault="0088784B" w:rsidP="00462DBB">
            <w:pPr>
              <w:jc w:val="both"/>
              <w:rPr>
                <w:rFonts w:ascii="Times New Roman" w:eastAsia="Times New Roman" w:hAnsi="Times New Roman" w:cs="Times New Roman"/>
                <w:bCs/>
                <w:sz w:val="20"/>
                <w:szCs w:val="20"/>
                <w:lang w:eastAsia="pl-PL"/>
              </w:rPr>
            </w:pPr>
            <w:r w:rsidRPr="0088784B">
              <w:rPr>
                <w:rFonts w:ascii="Times New Roman" w:eastAsia="Times New Roman" w:hAnsi="Times New Roman" w:cs="Times New Roman"/>
                <w:bCs/>
                <w:sz w:val="20"/>
                <w:szCs w:val="20"/>
                <w:lang w:eastAsia="pl-PL"/>
              </w:rPr>
              <w:t xml:space="preserve">Skoro tożsame skutki projektodawca mógłby z łatwością uzyskać poprzez posłużenie się w procedurze </w:t>
            </w:r>
            <w:proofErr w:type="spellStart"/>
            <w:r w:rsidRPr="0088784B">
              <w:rPr>
                <w:rFonts w:ascii="Times New Roman" w:eastAsia="Times New Roman" w:hAnsi="Times New Roman" w:cs="Times New Roman"/>
                <w:bCs/>
                <w:sz w:val="20"/>
                <w:szCs w:val="20"/>
                <w:lang w:eastAsia="pl-PL"/>
              </w:rPr>
              <w:t>anonimizacji</w:t>
            </w:r>
            <w:proofErr w:type="spellEnd"/>
            <w:r w:rsidRPr="0088784B">
              <w:rPr>
                <w:rFonts w:ascii="Times New Roman" w:eastAsia="Times New Roman" w:hAnsi="Times New Roman" w:cs="Times New Roman"/>
                <w:bCs/>
                <w:sz w:val="20"/>
                <w:szCs w:val="20"/>
                <w:lang w:eastAsia="pl-PL"/>
              </w:rPr>
              <w:t xml:space="preserve"> środkami i siłami Ministerstwa Sprawiedliwości, np. przez zatrudnienie w sądach rejestrowych dodatkowych osób mających realizować te zadania, </w:t>
            </w:r>
            <w:r w:rsidRPr="0088784B">
              <w:rPr>
                <w:rFonts w:ascii="Times New Roman" w:eastAsia="Times New Roman" w:hAnsi="Times New Roman" w:cs="Times New Roman"/>
                <w:bCs/>
                <w:sz w:val="20"/>
                <w:szCs w:val="20"/>
                <w:lang w:eastAsia="pl-PL"/>
              </w:rPr>
              <w:lastRenderedPageBreak/>
              <w:t>proponowane rozwiązanie sprowadzające się do przymusowego wykonywania przez notariuszy pracy ukierunkowanej nie na odciążenie przedsiębiorców od obowiązków względem Państwa, ale przeciwnie - na odciążenie Państwa od realizacji swoich obowiązków, kosztem tychże przedsiębiorców (notariuszy), nie spełnia przesłanki niezbędności dla realizacji interesu, który ma być osiągnięty za pomocą projektowanych rozwiązań.</w:t>
            </w:r>
            <w:r w:rsidR="00341F7C">
              <w:rPr>
                <w:rFonts w:ascii="Times New Roman" w:eastAsia="Times New Roman" w:hAnsi="Times New Roman" w:cs="Times New Roman"/>
                <w:bCs/>
                <w:sz w:val="20"/>
                <w:szCs w:val="20"/>
                <w:lang w:eastAsia="pl-PL"/>
              </w:rPr>
              <w:t>”</w:t>
            </w:r>
          </w:p>
        </w:tc>
        <w:tc>
          <w:tcPr>
            <w:tcW w:w="4076" w:type="dxa"/>
          </w:tcPr>
          <w:p w14:paraId="32647774" w14:textId="77777777" w:rsidR="0088784B" w:rsidRPr="001E5FE3" w:rsidRDefault="0088784B" w:rsidP="00462DBB">
            <w:pPr>
              <w:autoSpaceDE w:val="0"/>
              <w:autoSpaceDN w:val="0"/>
              <w:adjustRightInd w:val="0"/>
              <w:jc w:val="both"/>
              <w:rPr>
                <w:rFonts w:ascii="Times New Roman" w:eastAsia="Times New Roman" w:hAnsi="Times New Roman" w:cs="Times New Roman"/>
                <w:b/>
                <w:sz w:val="20"/>
                <w:szCs w:val="20"/>
                <w:lang w:eastAsia="pl-PL"/>
              </w:rPr>
            </w:pPr>
            <w:r w:rsidRPr="001E5FE3">
              <w:rPr>
                <w:rFonts w:ascii="Times New Roman" w:eastAsia="Times New Roman" w:hAnsi="Times New Roman" w:cs="Times New Roman"/>
                <w:b/>
                <w:sz w:val="20"/>
                <w:szCs w:val="20"/>
                <w:lang w:eastAsia="pl-PL"/>
              </w:rPr>
              <w:lastRenderedPageBreak/>
              <w:t>Uwaga nieaktualna</w:t>
            </w:r>
          </w:p>
          <w:p w14:paraId="353C0224" w14:textId="53476033" w:rsidR="0088784B" w:rsidRPr="00CE4B74" w:rsidRDefault="0088784B" w:rsidP="00462DBB">
            <w:pPr>
              <w:jc w:val="both"/>
              <w:rPr>
                <w:rFonts w:ascii="Times New Roman" w:hAnsi="Times New Roman" w:cs="Times New Roman"/>
                <w:bCs/>
                <w:sz w:val="20"/>
                <w:szCs w:val="20"/>
              </w:rPr>
            </w:pPr>
            <w:r w:rsidRPr="001E5FE3">
              <w:rPr>
                <w:rFonts w:ascii="Times New Roman" w:eastAsia="Times New Roman" w:hAnsi="Times New Roman" w:cs="Times New Roman"/>
                <w:bCs/>
                <w:sz w:val="20"/>
                <w:szCs w:val="20"/>
                <w:lang w:eastAsia="pl-PL"/>
              </w:rPr>
              <w:t>Projektodawca zrezygnował z dodania § 5 w art. 92a ustawy - Prawo o notariacie.</w:t>
            </w:r>
          </w:p>
        </w:tc>
      </w:tr>
      <w:tr w:rsidR="0088784B" w:rsidRPr="005134B0" w14:paraId="27A0A670" w14:textId="77777777" w:rsidTr="00B241C8">
        <w:trPr>
          <w:jc w:val="center"/>
        </w:trPr>
        <w:tc>
          <w:tcPr>
            <w:tcW w:w="562" w:type="dxa"/>
          </w:tcPr>
          <w:p w14:paraId="753C2AFA" w14:textId="443FDC58" w:rsidR="0088784B" w:rsidRPr="005134B0" w:rsidRDefault="0088784B"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38.</w:t>
            </w:r>
          </w:p>
        </w:tc>
        <w:tc>
          <w:tcPr>
            <w:tcW w:w="1843" w:type="dxa"/>
            <w:vAlign w:val="center"/>
          </w:tcPr>
          <w:p w14:paraId="2049BFB2" w14:textId="14D33DA0" w:rsidR="0088784B" w:rsidRPr="005134B0" w:rsidRDefault="0088784B"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484BC157" w14:textId="05DBAB1B" w:rsidR="0088784B" w:rsidRPr="005134B0" w:rsidRDefault="00341F7C" w:rsidP="0088784B">
            <w:pPr>
              <w:spacing w:before="120" w:after="120"/>
              <w:jc w:val="both"/>
              <w:rPr>
                <w:rFonts w:ascii="Times New Roman" w:hAnsi="Times New Roman" w:cs="Times New Roman"/>
                <w:bCs/>
                <w:sz w:val="20"/>
                <w:szCs w:val="20"/>
              </w:rPr>
            </w:pPr>
            <w:r w:rsidRPr="00341F7C">
              <w:rPr>
                <w:rFonts w:ascii="Times New Roman" w:hAnsi="Times New Roman" w:cs="Times New Roman"/>
                <w:bCs/>
                <w:sz w:val="20"/>
                <w:szCs w:val="20"/>
              </w:rPr>
              <w:t>art. 4 (art. 92  §  5a ustawy – Prawo o notariacie)</w:t>
            </w:r>
          </w:p>
        </w:tc>
        <w:tc>
          <w:tcPr>
            <w:tcW w:w="5670" w:type="dxa"/>
            <w:vAlign w:val="center"/>
          </w:tcPr>
          <w:p w14:paraId="71F55665" w14:textId="3120709E" w:rsidR="00341F7C" w:rsidRPr="00341F7C" w:rsidRDefault="00341F7C" w:rsidP="00462DBB">
            <w:pPr>
              <w:jc w:val="both"/>
              <w:rPr>
                <w:rFonts w:ascii="Times New Roman" w:eastAsia="Times New Roman" w:hAnsi="Times New Roman" w:cs="Times New Roman"/>
                <w:bCs/>
                <w:sz w:val="20"/>
                <w:szCs w:val="20"/>
                <w:lang w:eastAsia="pl-PL"/>
              </w:rPr>
            </w:pPr>
            <w:r w:rsidRPr="00341F7C">
              <w:rPr>
                <w:rFonts w:ascii="Times New Roman" w:eastAsia="Times New Roman" w:hAnsi="Times New Roman" w:cs="Times New Roman"/>
                <w:bCs/>
                <w:sz w:val="20"/>
                <w:szCs w:val="20"/>
                <w:lang w:eastAsia="pl-PL"/>
              </w:rPr>
              <w:t>W powyższym świetle wymaga stanowczego podkreślenia, że zgodnie z treścią art. 67 ustawy z dnia 6 marca 2018 r. - Prawo przedsiębiorców (</w:t>
            </w:r>
            <w:proofErr w:type="spellStart"/>
            <w:r w:rsidRPr="00341F7C">
              <w:rPr>
                <w:rFonts w:ascii="Times New Roman" w:eastAsia="Times New Roman" w:hAnsi="Times New Roman" w:cs="Times New Roman"/>
                <w:bCs/>
                <w:sz w:val="20"/>
                <w:szCs w:val="20"/>
                <w:lang w:eastAsia="pl-PL"/>
              </w:rPr>
              <w:t>t.j</w:t>
            </w:r>
            <w:proofErr w:type="spellEnd"/>
            <w:r w:rsidRPr="00341F7C">
              <w:rPr>
                <w:rFonts w:ascii="Times New Roman" w:eastAsia="Times New Roman" w:hAnsi="Times New Roman" w:cs="Times New Roman"/>
                <w:bCs/>
                <w:sz w:val="20"/>
                <w:szCs w:val="20"/>
                <w:lang w:eastAsia="pl-PL"/>
              </w:rPr>
              <w:t xml:space="preserve">. Dz.U. z 2024 r., poz. 236), opracowując m.in. projekt aktu normatywnego określającego zasady wykonywania działalności gospodarczej, należy kierować się zasadami proporcjonalności i adekwatności, a w szczególności m.in. dążyć do </w:t>
            </w:r>
            <w:proofErr w:type="spellStart"/>
            <w:r w:rsidRPr="00341F7C">
              <w:rPr>
                <w:rFonts w:ascii="Times New Roman" w:eastAsia="Times New Roman" w:hAnsi="Times New Roman" w:cs="Times New Roman"/>
                <w:bCs/>
                <w:sz w:val="20"/>
                <w:szCs w:val="20"/>
                <w:lang w:eastAsia="pl-PL"/>
              </w:rPr>
              <w:t>nienakladania</w:t>
            </w:r>
            <w:proofErr w:type="spellEnd"/>
            <w:r w:rsidRPr="00341F7C">
              <w:rPr>
                <w:rFonts w:ascii="Times New Roman" w:eastAsia="Times New Roman" w:hAnsi="Times New Roman" w:cs="Times New Roman"/>
                <w:bCs/>
                <w:sz w:val="20"/>
                <w:szCs w:val="20"/>
                <w:lang w:eastAsia="pl-PL"/>
              </w:rPr>
              <w:t xml:space="preserve"> nowych obowiązków administracyjnych, a jeżeli nie jest to możliwe, dążyć do ich nakładania jedynie w stopniu koniecznym do osiągnięcia ich celów (pkt 1) oraz implementując prawo Unii Europejskiej i prawo międzynarodowe, dążyć do nakładania wyłącznie obowiązków administracyjnych niezbędnych do osiągnięcia celów implementowanych przepisów (pkt 4). Wskazuje się na tym tle, że „podmiot opracowujący projekt aktu normatywnego powinien przedstawić rozwiązania prawne alternatywne, w tym w zakresie możliwości niewprowadzania lub redukcji obciążeń i wpływu proponowanych rozwiązań na system prawa. Przygotowanie alternatywnych propozycji umożliwi dokonanie wyboru optymalnego w danych warunkach rozwiązania prawnego, determinowanego celami projektowanej regulacji, z uwzględnieniem postulatu prawidłowej legislacji"". Rozwinięciem regulacji przywołanego art. 67 jest następujący art. 68 wspomnianej ustawy, wedle którego „ w przypadku stwierdzenia wpływu projektu aktu normatywnego na </w:t>
            </w:r>
            <w:proofErr w:type="spellStart"/>
            <w:r w:rsidRPr="00341F7C">
              <w:rPr>
                <w:rFonts w:ascii="Times New Roman" w:eastAsia="Times New Roman" w:hAnsi="Times New Roman" w:cs="Times New Roman"/>
                <w:bCs/>
                <w:sz w:val="20"/>
                <w:szCs w:val="20"/>
                <w:lang w:eastAsia="pl-PL"/>
              </w:rPr>
              <w:t>mikroprzedsiębiorców</w:t>
            </w:r>
            <w:proofErr w:type="spellEnd"/>
            <w:r w:rsidRPr="00341F7C">
              <w:rPr>
                <w:rFonts w:ascii="Times New Roman" w:eastAsia="Times New Roman" w:hAnsi="Times New Roman" w:cs="Times New Roman"/>
                <w:bCs/>
                <w:sz w:val="20"/>
                <w:szCs w:val="20"/>
                <w:lang w:eastAsia="pl-PL"/>
              </w:rPr>
              <w:t xml:space="preserve">, małych i średnich przedsiębiorców, przy opracowaniu projektu aktu normatywnego dąży się do proporcjonalnego ograniczania obowiązków administracyjnych wobec tych przedsiębiorców albo uzasadnia brak możliwości zastosowania takich ograniczeń. "". Co więcej, zgodnie z przywoływanym art. 67 prawodawca zobowiązany jest dążyć do ograniczenia obowiązków informacyjnych, zwłaszcza gdy wymagane informacje są przekazywane przez obowiązanych </w:t>
            </w:r>
            <w:r w:rsidRPr="00341F7C">
              <w:rPr>
                <w:rFonts w:ascii="Times New Roman" w:eastAsia="Times New Roman" w:hAnsi="Times New Roman" w:cs="Times New Roman"/>
                <w:bCs/>
                <w:sz w:val="20"/>
                <w:szCs w:val="20"/>
                <w:lang w:eastAsia="pl-PL"/>
              </w:rPr>
              <w:lastRenderedPageBreak/>
              <w:t>organom władzy publicznej na podstawie obowiązujących przepisów (pkt 2) - a przecież pełne informacje dotyczące czynności stanowiących podstawę wpisu w KRS są już przez notariuszy przesyłane w postaci wypisu na gruncie dotychczasowej regulacji. To, że informacje te wymagają - dla realizacji dalszych celów organu władzy publicznej - stosownego opracowania, nie może zatem uzasadniać konieczności ponownego (tym razem w ograniczonej formie) ich przesyłania przez notariuszy w świetle przywołanego art. 67 pkt 2) Prawa przedsiębiorców.</w:t>
            </w:r>
          </w:p>
          <w:p w14:paraId="6C006071" w14:textId="77777777" w:rsidR="00341F7C" w:rsidRPr="00341F7C" w:rsidRDefault="00341F7C" w:rsidP="00462DBB">
            <w:pPr>
              <w:jc w:val="both"/>
              <w:rPr>
                <w:rFonts w:ascii="Times New Roman" w:eastAsia="Times New Roman" w:hAnsi="Times New Roman" w:cs="Times New Roman"/>
                <w:bCs/>
                <w:sz w:val="20"/>
                <w:szCs w:val="20"/>
                <w:lang w:eastAsia="pl-PL"/>
              </w:rPr>
            </w:pPr>
            <w:r w:rsidRPr="00341F7C">
              <w:rPr>
                <w:rFonts w:ascii="Times New Roman" w:eastAsia="Times New Roman" w:hAnsi="Times New Roman" w:cs="Times New Roman"/>
                <w:bCs/>
                <w:sz w:val="20"/>
                <w:szCs w:val="20"/>
                <w:lang w:eastAsia="pl-PL"/>
              </w:rPr>
              <w:t xml:space="preserve">Wymaga przy tym przypomnienia, że w ramach zapowiadanego przez Ministerstwo Sprawiedliwości programu ""Cyfrowy Sąd"" (ogłoszonego m.in. na stronach Ministerstwa Sprawiedliwości: ittps://www.gov.pl/web/sprawiedliwosc/prograni-cyfrowy-sad-zmieni-wymiar-sprawiedliwosc) planowane jest w ramach projektów na 2026 rok, jak wynika z prezentacji załączonej do przywołanego komunikatu na stronach Ministerstwa, zorganizowanie Nowego Portalu Orzeczeń ukierunkowanego na publikację, </w:t>
            </w:r>
            <w:proofErr w:type="spellStart"/>
            <w:r w:rsidRPr="00341F7C">
              <w:rPr>
                <w:rFonts w:ascii="Times New Roman" w:eastAsia="Times New Roman" w:hAnsi="Times New Roman" w:cs="Times New Roman"/>
                <w:bCs/>
                <w:sz w:val="20"/>
                <w:szCs w:val="20"/>
                <w:lang w:eastAsia="pl-PL"/>
              </w:rPr>
              <w:t>anonimizację</w:t>
            </w:r>
            <w:proofErr w:type="spellEnd"/>
            <w:r w:rsidRPr="00341F7C">
              <w:rPr>
                <w:rFonts w:ascii="Times New Roman" w:eastAsia="Times New Roman" w:hAnsi="Times New Roman" w:cs="Times New Roman"/>
                <w:bCs/>
                <w:sz w:val="20"/>
                <w:szCs w:val="20"/>
                <w:lang w:eastAsia="pl-PL"/>
              </w:rPr>
              <w:t xml:space="preserve"> i wyszukiwanie orzecznictwa. Niewątpliwie zatem w ramach tego projektu zasadne i możliwe jest przewidzenie także stosownych rozwiązań służących </w:t>
            </w:r>
            <w:proofErr w:type="spellStart"/>
            <w:r w:rsidRPr="00341F7C">
              <w:rPr>
                <w:rFonts w:ascii="Times New Roman" w:eastAsia="Times New Roman" w:hAnsi="Times New Roman" w:cs="Times New Roman"/>
                <w:bCs/>
                <w:sz w:val="20"/>
                <w:szCs w:val="20"/>
                <w:lang w:eastAsia="pl-PL"/>
              </w:rPr>
              <w:t>anonimizacji</w:t>
            </w:r>
            <w:proofErr w:type="spellEnd"/>
            <w:r w:rsidRPr="00341F7C">
              <w:rPr>
                <w:rFonts w:ascii="Times New Roman" w:eastAsia="Times New Roman" w:hAnsi="Times New Roman" w:cs="Times New Roman"/>
                <w:bCs/>
                <w:sz w:val="20"/>
                <w:szCs w:val="20"/>
                <w:lang w:eastAsia="pl-PL"/>
              </w:rPr>
              <w:t xml:space="preserve"> dokumentów stanowiących podstawę wpisu do Krajowego Rejestru Sądowego. Dobitnie dowodzi to, że skutki planowane do osiągnięcia projektowanymi regulacjami można i należy osiągać w ramach działań Ministerstwa Sprawiedliwości, w ramach projektów ukierunkowanych na sprawne funkcjonowanie sądownictwa, w tym także sądów rejestrowych.</w:t>
            </w:r>
          </w:p>
          <w:p w14:paraId="6580C3B6" w14:textId="77777777" w:rsidR="00341F7C" w:rsidRPr="00341F7C" w:rsidRDefault="00341F7C" w:rsidP="00462DBB">
            <w:pPr>
              <w:jc w:val="both"/>
              <w:rPr>
                <w:rFonts w:ascii="Times New Roman" w:eastAsia="Times New Roman" w:hAnsi="Times New Roman" w:cs="Times New Roman"/>
                <w:bCs/>
                <w:sz w:val="20"/>
                <w:szCs w:val="20"/>
                <w:lang w:eastAsia="pl-PL"/>
              </w:rPr>
            </w:pPr>
            <w:r w:rsidRPr="00341F7C">
              <w:rPr>
                <w:rFonts w:ascii="Times New Roman" w:eastAsia="Times New Roman" w:hAnsi="Times New Roman" w:cs="Times New Roman"/>
                <w:bCs/>
                <w:sz w:val="20"/>
                <w:szCs w:val="20"/>
                <w:lang w:eastAsia="pl-PL"/>
              </w:rPr>
              <w:t xml:space="preserve">Skoro zatem proponowana regulacja nakładać ma nowe obowiązki na notariuszy, spełniających przesłanki uznania za </w:t>
            </w:r>
            <w:proofErr w:type="spellStart"/>
            <w:r w:rsidRPr="00341F7C">
              <w:rPr>
                <w:rFonts w:ascii="Times New Roman" w:eastAsia="Times New Roman" w:hAnsi="Times New Roman" w:cs="Times New Roman"/>
                <w:bCs/>
                <w:sz w:val="20"/>
                <w:szCs w:val="20"/>
                <w:lang w:eastAsia="pl-PL"/>
              </w:rPr>
              <w:t>mikroprzedsiębiorców</w:t>
            </w:r>
            <w:proofErr w:type="spellEnd"/>
            <w:r w:rsidRPr="00341F7C">
              <w:rPr>
                <w:rFonts w:ascii="Times New Roman" w:eastAsia="Times New Roman" w:hAnsi="Times New Roman" w:cs="Times New Roman"/>
                <w:bCs/>
                <w:sz w:val="20"/>
                <w:szCs w:val="20"/>
                <w:lang w:eastAsia="pl-PL"/>
              </w:rPr>
              <w:t xml:space="preserve"> lub wyjątkowo małych przedsiębiorców, również ona powinna dążyć do proporcjonalnego ograniczania ich obowiązków (czego w żaden sposób nie czyni) lub też uzasadniać brak możliwości zastosowania (wprowadzenia) takich ograniczeń obowiązków, a już z całą pewnością - w świetle art. 67 przywoływanej ustawy - powinna dążyć do nałożenia obowiązków jedynie w zakresie koniecznym. Z pewnością nie jest wystarczające dla uzasadnienia tej konieczności samo założenie chęci </w:t>
            </w:r>
            <w:r w:rsidRPr="00341F7C">
              <w:rPr>
                <w:rFonts w:ascii="Times New Roman" w:eastAsia="Times New Roman" w:hAnsi="Times New Roman" w:cs="Times New Roman"/>
                <w:bCs/>
                <w:sz w:val="20"/>
                <w:szCs w:val="20"/>
                <w:lang w:eastAsia="pl-PL"/>
              </w:rPr>
              <w:lastRenderedPageBreak/>
              <w:t>zredukowania tych obowiązków po stronie podmiotów ze sfery publicznej - sądów i zatrudnionych w ich ramach pracowników.</w:t>
            </w:r>
          </w:p>
          <w:p w14:paraId="1D4510DB" w14:textId="17E11647" w:rsidR="0088784B" w:rsidRPr="005134B0" w:rsidRDefault="00341F7C" w:rsidP="00462DBB">
            <w:pPr>
              <w:jc w:val="both"/>
              <w:rPr>
                <w:rFonts w:ascii="Times New Roman" w:eastAsia="Times New Roman" w:hAnsi="Times New Roman" w:cs="Times New Roman"/>
                <w:bCs/>
                <w:sz w:val="20"/>
                <w:szCs w:val="20"/>
                <w:lang w:eastAsia="pl-PL"/>
              </w:rPr>
            </w:pPr>
            <w:r w:rsidRPr="00341F7C">
              <w:rPr>
                <w:rFonts w:ascii="Times New Roman" w:eastAsia="Times New Roman" w:hAnsi="Times New Roman" w:cs="Times New Roman"/>
                <w:bCs/>
                <w:sz w:val="20"/>
                <w:szCs w:val="20"/>
                <w:lang w:eastAsia="pl-PL"/>
              </w:rPr>
              <w:t>Konieczność nałożenia nowych obowiązków administracyjnych należy uzasadnić wykazując, że cel jest niemożliwy do osiągnięcia innymi środkami, a takiego uzasadnienia zabrakło w ocenie skutków regulacji omawianej nowelizacji. Z perspektywy zasad tzw. Konstytucji Biznesu, której część stanowi prawo przedsiębiorców, należy proponowane rozwiązanie uznać za niedopuszczalne."</w:t>
            </w:r>
          </w:p>
        </w:tc>
        <w:tc>
          <w:tcPr>
            <w:tcW w:w="4076" w:type="dxa"/>
          </w:tcPr>
          <w:p w14:paraId="7193B13B" w14:textId="77777777" w:rsidR="00341F7C" w:rsidRPr="00341F7C" w:rsidRDefault="00341F7C" w:rsidP="00462DBB">
            <w:pPr>
              <w:jc w:val="both"/>
              <w:rPr>
                <w:rFonts w:ascii="Times New Roman" w:hAnsi="Times New Roman" w:cs="Times New Roman"/>
                <w:b/>
                <w:sz w:val="20"/>
                <w:szCs w:val="20"/>
              </w:rPr>
            </w:pPr>
            <w:r w:rsidRPr="00341F7C">
              <w:rPr>
                <w:rFonts w:ascii="Times New Roman" w:hAnsi="Times New Roman" w:cs="Times New Roman"/>
                <w:b/>
                <w:sz w:val="20"/>
                <w:szCs w:val="20"/>
              </w:rPr>
              <w:lastRenderedPageBreak/>
              <w:t>Uwaga nieaktualna</w:t>
            </w:r>
          </w:p>
          <w:p w14:paraId="7DA46AC3" w14:textId="4A030B03" w:rsidR="0088784B" w:rsidRPr="00D11C56" w:rsidRDefault="00341F7C" w:rsidP="00462DBB">
            <w:pPr>
              <w:jc w:val="both"/>
              <w:rPr>
                <w:rFonts w:ascii="Times New Roman" w:hAnsi="Times New Roman" w:cs="Times New Roman"/>
                <w:bCs/>
                <w:sz w:val="20"/>
                <w:szCs w:val="20"/>
              </w:rPr>
            </w:pPr>
            <w:r w:rsidRPr="00341F7C">
              <w:rPr>
                <w:rFonts w:ascii="Times New Roman" w:hAnsi="Times New Roman" w:cs="Times New Roman"/>
                <w:bCs/>
                <w:sz w:val="20"/>
                <w:szCs w:val="20"/>
              </w:rPr>
              <w:t>Projektodawca zrezygnował z dodania § 5 w art. 92a ustawy - Prawo o notariacie.</w:t>
            </w:r>
          </w:p>
        </w:tc>
      </w:tr>
      <w:tr w:rsidR="0088784B" w:rsidRPr="005134B0" w14:paraId="1D5F901A" w14:textId="77777777" w:rsidTr="00B241C8">
        <w:trPr>
          <w:jc w:val="center"/>
        </w:trPr>
        <w:tc>
          <w:tcPr>
            <w:tcW w:w="562" w:type="dxa"/>
          </w:tcPr>
          <w:p w14:paraId="4A4DC312" w14:textId="28A1F8BC" w:rsidR="0088784B" w:rsidRPr="005134B0" w:rsidRDefault="000770EE"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39</w:t>
            </w:r>
            <w:r w:rsidR="0088784B">
              <w:rPr>
                <w:rFonts w:ascii="Times New Roman" w:hAnsi="Times New Roman" w:cs="Times New Roman"/>
                <w:bCs/>
                <w:sz w:val="20"/>
                <w:szCs w:val="20"/>
              </w:rPr>
              <w:t>.</w:t>
            </w:r>
          </w:p>
        </w:tc>
        <w:tc>
          <w:tcPr>
            <w:tcW w:w="1843" w:type="dxa"/>
            <w:vAlign w:val="center"/>
          </w:tcPr>
          <w:p w14:paraId="244158E4" w14:textId="4A9BA4E9" w:rsidR="0088784B" w:rsidRPr="005134B0" w:rsidRDefault="000770EE"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79FBE403" w14:textId="4786E556" w:rsidR="0088784B" w:rsidRPr="005134B0" w:rsidRDefault="000770EE" w:rsidP="0088784B">
            <w:pPr>
              <w:spacing w:before="120" w:after="120"/>
              <w:jc w:val="both"/>
              <w:rPr>
                <w:rFonts w:ascii="Times New Roman" w:hAnsi="Times New Roman" w:cs="Times New Roman"/>
                <w:bCs/>
                <w:sz w:val="20"/>
                <w:szCs w:val="20"/>
              </w:rPr>
            </w:pPr>
            <w:r w:rsidRPr="000770EE">
              <w:rPr>
                <w:rFonts w:ascii="Times New Roman" w:hAnsi="Times New Roman" w:cs="Times New Roman"/>
                <w:bCs/>
                <w:sz w:val="20"/>
                <w:szCs w:val="20"/>
              </w:rPr>
              <w:t>art. 4 (art. 92  §  5a ustawy – Prawo o notariacie)</w:t>
            </w:r>
          </w:p>
        </w:tc>
        <w:tc>
          <w:tcPr>
            <w:tcW w:w="5670" w:type="dxa"/>
            <w:vAlign w:val="center"/>
          </w:tcPr>
          <w:p w14:paraId="624E666C" w14:textId="77777777" w:rsidR="000770EE" w:rsidRPr="000770EE" w:rsidRDefault="000770EE" w:rsidP="00462DBB">
            <w:pPr>
              <w:jc w:val="both"/>
              <w:rPr>
                <w:rFonts w:ascii="Times New Roman" w:eastAsia="Times New Roman" w:hAnsi="Times New Roman" w:cs="Times New Roman"/>
                <w:bCs/>
                <w:sz w:val="20"/>
                <w:szCs w:val="20"/>
                <w:lang w:eastAsia="pl-PL"/>
              </w:rPr>
            </w:pPr>
            <w:r w:rsidRPr="000770EE">
              <w:rPr>
                <w:rFonts w:ascii="Times New Roman" w:eastAsia="Times New Roman" w:hAnsi="Times New Roman" w:cs="Times New Roman"/>
                <w:bCs/>
                <w:sz w:val="20"/>
                <w:szCs w:val="20"/>
                <w:lang w:eastAsia="pl-PL"/>
              </w:rPr>
              <w:t>Krajowa Rada Notarialna sygnalizacyjnie wskazuje na liczne wątpliwości jakie rozważana regulacja musi budzić z perspektywy przepisów dotyczących ochrony danych osobowych. Nowelizacja ta budzi poważne wątpliwości w kontekście zgodności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74BC1AE4" w14:textId="77777777" w:rsidR="000770EE" w:rsidRPr="000770EE" w:rsidRDefault="000770EE" w:rsidP="00462DBB">
            <w:pPr>
              <w:jc w:val="both"/>
              <w:rPr>
                <w:rFonts w:ascii="Times New Roman" w:eastAsia="Times New Roman" w:hAnsi="Times New Roman" w:cs="Times New Roman"/>
                <w:bCs/>
                <w:sz w:val="20"/>
                <w:szCs w:val="20"/>
                <w:lang w:eastAsia="pl-PL"/>
              </w:rPr>
            </w:pPr>
            <w:r w:rsidRPr="000770EE">
              <w:rPr>
                <w:rFonts w:ascii="Times New Roman" w:eastAsia="Times New Roman" w:hAnsi="Times New Roman" w:cs="Times New Roman"/>
                <w:bCs/>
                <w:sz w:val="20"/>
                <w:szCs w:val="20"/>
                <w:lang w:eastAsia="pl-PL"/>
              </w:rPr>
              <w:t xml:space="preserve">Projektowany przepis art. 92 § 5a Prawa o notariacie, nakładający na notariusza obowiązek umieszczenia w Repozytorium elektronicznego wyciągu aktu notarialnego z pominięciem „danych osobowych niepodlegających wpisowi do Krajowego Rejestru Sądowego", nie spełnia wymogów określonych w art. 6 ust. 3 RODO. W konsekwencji nic może on stanowić skutecznej i samodzielnej podstawy prawnej do przetwarzania danych osobowych, o której mowa w art. 6 ust. 1 lit. c) RODO. Wynika to stąd, że zgodnie z art. 6 ust. 1 lit. c) RODO, przetwarzanie danych jest legalne, gdy jest niezbędne do wypełnienia obowiązku prawnego ciążącego na administratorze. Jednakże art. 6 ust. 3 RODO, jako norma o bezpośrednim stosowaniu, nakłada na ustawodawców krajowych konkretne wymogi co do jakości legislacyjnej przepisów, które mają taki obowiązek konkretyzować. Zgodnie z treścią tego przepisu podstawa przetwarzania, o którym mowa w ust. 1 lit. c) i e), musi być określona: a) w prawie Unii lub b) w prawie państwa członkowskiego, któremu podlega administrator. Cel przetwarzania musi być określony w tej podstawie prawnej lub, w przypadku przetwarzania, o którym mowa w ust. 1 lit. e) - musi być ono niezbędne do wykonania zadania realizowanego w interesie </w:t>
            </w:r>
            <w:r w:rsidRPr="000770EE">
              <w:rPr>
                <w:rFonts w:ascii="Times New Roman" w:eastAsia="Times New Roman" w:hAnsi="Times New Roman" w:cs="Times New Roman"/>
                <w:bCs/>
                <w:sz w:val="20"/>
                <w:szCs w:val="20"/>
                <w:lang w:eastAsia="pl-PL"/>
              </w:rPr>
              <w:lastRenderedPageBreak/>
              <w:t>publicznym lub w ramach sprawowania władzy publicznej powierzonej administratorowi. Podstawa prawna może zawierać przepisy szczegółowe dostosowujące stosowanie przepisów rozporządzenia, w tym: ogólne warunki zgodności z prawem przetwarzania przez administratora; rodzaj danych podlegających przetwarzaniu; osoby, których dane dotyczą; podmioty, którym można ujawnić dane osobowe; cele, w których można je ujawnić; ograniczenia celu; okresy przechowywania; oraz operacje i procedury przetwarzania, w tym środki zapewniające zgodność z prawem i rzetelność przetwarzania,  w tym w innych szczególnych sytuacjach związanych z przetwarzaniem, o których mowa w rozdziale IX. Prawo Unii Europejskiej lub prawo państwa członkowskiego muszą służyć realizacji celu leżącego w interesie publicznym oraz być proporcjonalne  do  wyznaczonego,  prawnie  uzasadnionego  celu. W  tym świetle projektowana regulacja, analizowana przez pryzmat tych wymogów, wykazuje braki, które dyskwalifikują ją jako skuteczną podstawę prawną.</w:t>
            </w:r>
          </w:p>
          <w:p w14:paraId="6F609EFA" w14:textId="77777777" w:rsidR="000770EE" w:rsidRPr="000770EE" w:rsidRDefault="000770EE" w:rsidP="00462DBB">
            <w:pPr>
              <w:jc w:val="both"/>
              <w:rPr>
                <w:rFonts w:ascii="Times New Roman" w:eastAsia="Times New Roman" w:hAnsi="Times New Roman" w:cs="Times New Roman"/>
                <w:bCs/>
                <w:sz w:val="20"/>
                <w:szCs w:val="20"/>
                <w:lang w:eastAsia="pl-PL"/>
              </w:rPr>
            </w:pPr>
            <w:r w:rsidRPr="000770EE">
              <w:rPr>
                <w:rFonts w:ascii="Times New Roman" w:eastAsia="Times New Roman" w:hAnsi="Times New Roman" w:cs="Times New Roman"/>
                <w:bCs/>
                <w:sz w:val="20"/>
                <w:szCs w:val="20"/>
                <w:lang w:eastAsia="pl-PL"/>
              </w:rPr>
              <w:t xml:space="preserve">Przede wszystkim, projektowany art. 92 § 5a ustawy - Prawo o notariacie nakłada na notariusza obowiązek o charakterze czysto technicznym, nie definiując przy tym celu, dla którego operacja selekcji i pomijania określonych danych miałaby być realizowana. Co równie istotne notariusz nie otrzymuje przy tym od ustawodawcy żadnych wskazówek pozwalających na prawidłową wykładnię zakresu nałożonego obowiązku, co stoi w sprzeczności z wymogiem </w:t>
            </w:r>
            <w:proofErr w:type="spellStart"/>
            <w:r w:rsidRPr="000770EE">
              <w:rPr>
                <w:rFonts w:ascii="Times New Roman" w:eastAsia="Times New Roman" w:hAnsi="Times New Roman" w:cs="Times New Roman"/>
                <w:bCs/>
                <w:sz w:val="20"/>
                <w:szCs w:val="20"/>
                <w:lang w:eastAsia="pl-PL"/>
              </w:rPr>
              <w:t>okieśloności</w:t>
            </w:r>
            <w:proofErr w:type="spellEnd"/>
            <w:r w:rsidRPr="000770EE">
              <w:rPr>
                <w:rFonts w:ascii="Times New Roman" w:eastAsia="Times New Roman" w:hAnsi="Times New Roman" w:cs="Times New Roman"/>
                <w:bCs/>
                <w:sz w:val="20"/>
                <w:szCs w:val="20"/>
                <w:lang w:eastAsia="pl-PL"/>
              </w:rPr>
              <w:t xml:space="preserve"> celu z art. 6 ust. 3 RODO. Dodatkowo użyte sformułowanie „dane osobowe niepodlegające wpisowi do Krajowego Rejestru Sądowego" jest dalece nieprecyzyjne i nieostre, tworząc pole do daleko idących rozbieżności interpretacyjnych wśród notariuszy, rodząc pytania np. o status danych osobowych byłych członków organów, małżonków wspólników czy pełnomocników. To także stanowi naruszenie art. 6 ust. 3 RODO, który dopuszcza, aby prawo krajowe zawierało przepisy szczegółowe określające m.in. „rodzaj danych podlegających przetwarzaniu". Zamiast precyzować,  projektowana  norma tworzy stan  niepewności prawnej w omawianym zakresie. Przy tym wskazany art. 6 ust. 3 RODO wymaga, aby prawo UE lub prawo państwa członkowskiego służyło realizacji celu leżącego w interesie </w:t>
            </w:r>
            <w:r w:rsidRPr="000770EE">
              <w:rPr>
                <w:rFonts w:ascii="Times New Roman" w:eastAsia="Times New Roman" w:hAnsi="Times New Roman" w:cs="Times New Roman"/>
                <w:bCs/>
                <w:sz w:val="20"/>
                <w:szCs w:val="20"/>
                <w:lang w:eastAsia="pl-PL"/>
              </w:rPr>
              <w:lastRenderedPageBreak/>
              <w:t>publicznym oraz aby było proporcjonalne do wyznaczonego, prawnie uzasadnionego celu. Wskazany przepis</w:t>
            </w:r>
          </w:p>
          <w:p w14:paraId="68BFCA4A" w14:textId="77777777" w:rsidR="000770EE" w:rsidRPr="000770EE" w:rsidRDefault="000770EE" w:rsidP="00462DBB">
            <w:pPr>
              <w:jc w:val="both"/>
              <w:rPr>
                <w:rFonts w:ascii="Times New Roman" w:eastAsia="Times New Roman" w:hAnsi="Times New Roman" w:cs="Times New Roman"/>
                <w:bCs/>
                <w:sz w:val="20"/>
                <w:szCs w:val="20"/>
                <w:lang w:eastAsia="pl-PL"/>
              </w:rPr>
            </w:pPr>
            <w:r w:rsidRPr="000770EE">
              <w:rPr>
                <w:rFonts w:ascii="Times New Roman" w:eastAsia="Times New Roman" w:hAnsi="Times New Roman" w:cs="Times New Roman"/>
                <w:bCs/>
                <w:sz w:val="20"/>
                <w:szCs w:val="20"/>
                <w:lang w:eastAsia="pl-PL"/>
              </w:rPr>
              <w:t>trudno uznać za proporcjonalny, co jest tym bardziej oczywiste, skoro wątpliwości będzie budzić sam zakres danych.</w:t>
            </w:r>
          </w:p>
          <w:p w14:paraId="4F674857" w14:textId="20C06143" w:rsidR="0088784B" w:rsidRPr="005134B0" w:rsidRDefault="000770EE" w:rsidP="00462DBB">
            <w:pPr>
              <w:jc w:val="both"/>
              <w:rPr>
                <w:rFonts w:ascii="Times New Roman" w:eastAsia="Times New Roman" w:hAnsi="Times New Roman" w:cs="Times New Roman"/>
                <w:bCs/>
                <w:sz w:val="20"/>
                <w:szCs w:val="20"/>
                <w:lang w:eastAsia="pl-PL"/>
              </w:rPr>
            </w:pPr>
            <w:r w:rsidRPr="000770EE">
              <w:rPr>
                <w:rFonts w:ascii="Times New Roman" w:eastAsia="Times New Roman" w:hAnsi="Times New Roman" w:cs="Times New Roman"/>
                <w:bCs/>
                <w:sz w:val="20"/>
                <w:szCs w:val="20"/>
                <w:lang w:eastAsia="pl-PL"/>
              </w:rPr>
              <w:t>W rezultacie m.in. posłużenie się niejednoznacznym pojęciem do określenia zakresu obowiązku - dyskwalifikuje projektowany aft. 92 § 5a ustawy - Prawo o notariacie jako skuteczną podstawę prawną w rozumieniu aft. 6 ust. 1 lit. c) w zw. z art. 6 ust. 3 RODO. Wprowadzenie w życie wskazanego przepisu nic tylko narazi notariuszy, ale i administratorów danych na ryzyko pociągnięcia do odpowiedzialności za przetwarzanie danych osobowych bez ważnej podstawy prawnej, czy naruszenia zasady minimalizacji wynikającej z RODO, zaś względem ustawodawcy może być podstawą zarzutów co do nienależytego realizowania rozwiązań prawa unijnego, tym samym tworząc stan głębokiej niepewności prawnej, godzący w zasadę zaufania obywateli do państwa i stanowionego przez nie prawa.</w:t>
            </w:r>
          </w:p>
        </w:tc>
        <w:tc>
          <w:tcPr>
            <w:tcW w:w="4076" w:type="dxa"/>
          </w:tcPr>
          <w:p w14:paraId="12A290B4" w14:textId="77777777" w:rsidR="000770EE" w:rsidRPr="000770EE" w:rsidRDefault="000770EE" w:rsidP="00462DBB">
            <w:pPr>
              <w:jc w:val="both"/>
              <w:rPr>
                <w:rFonts w:ascii="Times New Roman" w:hAnsi="Times New Roman" w:cs="Times New Roman"/>
                <w:b/>
                <w:sz w:val="20"/>
                <w:szCs w:val="20"/>
              </w:rPr>
            </w:pPr>
            <w:r w:rsidRPr="000770EE">
              <w:rPr>
                <w:rFonts w:ascii="Times New Roman" w:hAnsi="Times New Roman" w:cs="Times New Roman"/>
                <w:b/>
                <w:sz w:val="20"/>
                <w:szCs w:val="20"/>
              </w:rPr>
              <w:lastRenderedPageBreak/>
              <w:t>Uwaga nieaktualna</w:t>
            </w:r>
          </w:p>
          <w:p w14:paraId="484F182F" w14:textId="0195F5AD" w:rsidR="0088784B" w:rsidRPr="00967B5D" w:rsidRDefault="000770EE" w:rsidP="00462DBB">
            <w:pPr>
              <w:jc w:val="both"/>
              <w:rPr>
                <w:rFonts w:ascii="Times New Roman" w:hAnsi="Times New Roman" w:cs="Times New Roman"/>
                <w:bCs/>
                <w:sz w:val="20"/>
                <w:szCs w:val="20"/>
              </w:rPr>
            </w:pPr>
            <w:r w:rsidRPr="000770EE">
              <w:rPr>
                <w:rFonts w:ascii="Times New Roman" w:hAnsi="Times New Roman" w:cs="Times New Roman"/>
                <w:bCs/>
                <w:sz w:val="20"/>
                <w:szCs w:val="20"/>
              </w:rPr>
              <w:t>Projektodawca zrezygnował z dodania § 5 w art. 92a ustawy - Prawo o notariacie.</w:t>
            </w:r>
          </w:p>
        </w:tc>
      </w:tr>
      <w:tr w:rsidR="0088784B" w:rsidRPr="005134B0" w14:paraId="58F8AF96" w14:textId="77777777" w:rsidTr="00B241C8">
        <w:trPr>
          <w:jc w:val="center"/>
        </w:trPr>
        <w:tc>
          <w:tcPr>
            <w:tcW w:w="562" w:type="dxa"/>
          </w:tcPr>
          <w:p w14:paraId="7E4ADC65" w14:textId="22049416" w:rsidR="0088784B" w:rsidRPr="005134B0" w:rsidRDefault="000770EE"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40</w:t>
            </w:r>
            <w:r w:rsidR="0088784B">
              <w:rPr>
                <w:rFonts w:ascii="Times New Roman" w:hAnsi="Times New Roman" w:cs="Times New Roman"/>
                <w:bCs/>
                <w:sz w:val="20"/>
                <w:szCs w:val="20"/>
              </w:rPr>
              <w:t>.</w:t>
            </w:r>
          </w:p>
        </w:tc>
        <w:tc>
          <w:tcPr>
            <w:tcW w:w="1843" w:type="dxa"/>
            <w:vAlign w:val="center"/>
          </w:tcPr>
          <w:p w14:paraId="18F61AA9" w14:textId="49B7CB27" w:rsidR="0088784B" w:rsidRPr="005134B0" w:rsidRDefault="000770EE"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3469848F" w14:textId="5E6DCC4E" w:rsidR="0088784B" w:rsidRPr="005134B0" w:rsidRDefault="000770EE" w:rsidP="0088784B">
            <w:pPr>
              <w:spacing w:before="120" w:after="120"/>
              <w:jc w:val="both"/>
              <w:rPr>
                <w:rFonts w:ascii="Times New Roman" w:hAnsi="Times New Roman" w:cs="Times New Roman"/>
                <w:bCs/>
                <w:sz w:val="20"/>
                <w:szCs w:val="20"/>
              </w:rPr>
            </w:pPr>
            <w:r w:rsidRPr="000770EE">
              <w:rPr>
                <w:rFonts w:ascii="Times New Roman" w:hAnsi="Times New Roman" w:cs="Times New Roman"/>
                <w:bCs/>
                <w:sz w:val="20"/>
                <w:szCs w:val="20"/>
              </w:rPr>
              <w:t>art. 4 (art. 92  §  5a ustawy – Prawo o notariacie)</w:t>
            </w:r>
          </w:p>
        </w:tc>
        <w:tc>
          <w:tcPr>
            <w:tcW w:w="5670" w:type="dxa"/>
            <w:vAlign w:val="center"/>
          </w:tcPr>
          <w:p w14:paraId="26CE6707"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Wymaga też podkreślenia, że rozwiązania projektu powodują wzrost nakładu pracy notariuszy poświęconej konkretnej czynności notarialnej, gdyż wyciąg jest dokumentem o znacznym stopniu pracochłonności - wymagającym modyfikacji treści źródłowego dokumentu i zabiegów technicznych, a także - w świetle proponowanych przepisów merytorycznych, polegających na zdiagnozowaniu, które dane mają zostać usunięte. Wyraźne dostrzeżenie tego przez projektodawcę i jednoznaczne wskazanie, że praca ta oraz odpowiedzialność za nią ma zostać przerzucona na notariuszy stanowi kolejny przykład obarczania notariuszy czynnościami spoza merytorycznego zakresu wykonywania zawodu notariusza, służącego realizacji jurysdykcji prewencyjnej, do której realizacji notariusze są powołani.</w:t>
            </w:r>
          </w:p>
          <w:p w14:paraId="5753343C"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 xml:space="preserve">W rezultacie dla utrzymania wysokiego poziomu świadczenia czynności notarialnych, przy obecnych kosztach prowadzenia działalności notarialnej w świetle już istniejących, jak też w ostateczności ewentualnie nowych obowiązków organizacyjno-administracyjnych (takich jak np. przewidziane opiniowanym projektem), konieczne jest dokonanie przez Ministra </w:t>
            </w:r>
            <w:r w:rsidRPr="000770EE">
              <w:rPr>
                <w:bCs/>
                <w:noProof/>
                <w:sz w:val="20"/>
                <w:szCs w:val="20"/>
              </w:rPr>
              <w:lastRenderedPageBreak/>
              <w:t>Sprawiedliwości aktualizacji przewidzianych rozporządzeniem maksymalnych stawek taksy notarialnej, stosownie do delegacji ustawowej zawartej w art. 5 § 3 ustawy -Prawo o notariacie, uwzględniającej m.in. wprost tamże ujęte zmienne, takie jak m.in. nakład pracy notariusza oraz czas przeznaczony na dokonanie czynności. Jednoznacznie zwiększający te zmienne (tj. pracochłonność i czasochłonność czynności) wzrost obciążeń związanych z poszczególnymi czynnościami notarialnymi, stanowi podstawę wymagającą uwzględnienia przy określaniu maksymalnych stawek taksy notarialnej. W ostatnich latach nałożono na notariuszy szereg nowych obowiązków o charakterze notyfikacyjno-sprawozdawczym. W ślad za tym nie dokonano żadnej aktualizacji stawek taksy notarialnej, która pozostaje dziś na tym samym poziomie, co przed ponad dwudziestoma laty (a w pewnym zakresie stawki taksy uległy przez ten okres redukcji). W tym czasie minimalne wynagrodzenie za pracę wzrosło ponad pięciokrotnie, zaś przeciętne - ponad trzykrotnie.</w:t>
            </w:r>
          </w:p>
          <w:p w14:paraId="2E07C095"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We wskazanym okresie nie doszło do zwiększenia stawek przewidzianych za czynności notarialne w obrocie prawnospółkowym. Wskazać można na najczęstsze w praktyce notarialnej protokoły walnych zgromadzeń spółek kapitałowych - zgodnie z §9 ust. 1 pkt 1) i 2) rozporządzenia w sprawie maksymalnych stawek taksy notarialnej, maksymalna stawka za sporządzenie protokołu zgromadzenia wspólników spółki z ograniczoną odpowiedzialnością lub walnego zgromadzenia spółdzielni wynosi 750 zł, zaś za sporządzenie protokołu walnego zgromadzenia akcjonariuszy wynosi 1100 zł i kwoty te nie uległy zmianie od niemal ćwierćwiecza - są obecnie na tym samym poziomie lub nawet niższe, niż regulowane poprzednio, rozporządzeniem Ministra Sprawiedliwości z dnia 12 kwietnia 1991 r. w sprawie taksy notarialnej w brzmieniu obowiązującym od 26 października 2001 roku do 30 czerwca 2004 roku, kiedy to wspomniane rozporządzenie zostało zastąpione obecnym rozporządzeniem.</w:t>
            </w:r>
          </w:p>
          <w:p w14:paraId="7A73E559"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 xml:space="preserve">Wymaga wskazania, że obciążenia notariuszy nie zrekompensuje w żaden sposób ewentualna dodatkowa taksa notarialna za </w:t>
            </w:r>
            <w:r w:rsidRPr="000770EE">
              <w:rPr>
                <w:bCs/>
                <w:noProof/>
                <w:sz w:val="20"/>
                <w:szCs w:val="20"/>
              </w:rPr>
              <w:lastRenderedPageBreak/>
              <w:t>sporządzenie wyciągu, skoro jej stawka nie uległa zmianie od października 2001 roku, stanowiąc iż za sporządzenie wypisu, odpisu lub wyciągu z akt notarialnych lub innego dokumentu maksymalna stawka wynosi 6 zł za każdą rozpoczętą stronę. Z perspektywy zmiany wartości pieniądza w czasie od 2001 roku, rzutującej w oczywisty sposób na koszty prowadzenia kancelarii, można więc uznać brak aktualizacji m.in. tej stawki za rażąco nieprzystający do wspomnianych zmian wartości pieniądza i tym samym czyniąc obecną regulację taksy notarialnej za nierealizującą wytycznych wskazanych w art. 5 § 3 ustawy - Prawo o notariacie, nakazujących uwzględniać przy ustalaniu wysokości taksy notarialnej m.in. nakład pracy, czy czas przeznaczony na dokonanie czynności.</w:t>
            </w:r>
          </w:p>
          <w:p w14:paraId="4B3283A3"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 xml:space="preserve">Krajowa Rada Notarialna podjęła uchwałę nr XII/49/2025 z dnia 16 czerwca 2025 r. w sprawie wystąpienia do Ministra Sprawiedliwości, przedstawiając propozycję uwzględniającą aktualizację stawek taksy notarialnej, obejmującą m.in. zwiększenie (z 6 do 10 zł za każdą rozpoczętą stronę) taksy notarialnej za wypisy, odpisy i wyciągi. Tymczasem trzeba wskazać, że stawka za sporządzenie tych czynności, które są pracochłonne (w dużej mierze także „fizycznie" tj. obejmując pracę pracownika: przygotowanie wypisu, odpisu lub wyciągu: wydruk, klauzule, „nitowanie" i pieczętowanie, wydanie klientowi, przygotowanie  wpisów  w repertorium  i  dziennikach  dokumentacyjnych, rozliczenie płatności), jest szczególnie istotna z perspektywy wzrostu kosztów zatrudnienia (co stanowi istotny element kosztów ponoszonych przez notariuszy prowadzących kancelarie), które na przestrzeni ostatnich dekad znacząco wzrosły wskutek wzrostu minimalnego i przeciętnego wynagrodzenia. Efektem tego w niektórych izbach notarialnych już ponad 25% notariuszy nie zatrudnia żadnych pracowników wobec braku możliwości ponoszenia kosztów zatrudnienia. W tym kontekście wzrost stawek taksy za m.in. wypisy, odpisy i wyciągi (jako pokrywających także pośrednio koszty przechowywania, zabezpieczenia i oprawy, a także - również pośrednio - równoważących dochodowość aktów o nikłej wartości, jednak </w:t>
            </w:r>
            <w:r w:rsidRPr="000770EE">
              <w:rPr>
                <w:bCs/>
                <w:noProof/>
                <w:sz w:val="20"/>
                <w:szCs w:val="20"/>
              </w:rPr>
              <w:lastRenderedPageBreak/>
              <w:t>skomplikowanych jurydycznie) jest jednym z najbardziej jaskrawych aspektów rozporządzenia w sprawie taksy notarialnej, wymagających pilnej aktualizacji i dostosowania do obecnych realiów.</w:t>
            </w:r>
          </w:p>
          <w:p w14:paraId="4F0F4082" w14:textId="6BF0EB3D" w:rsidR="0088784B" w:rsidRPr="005134B0" w:rsidRDefault="000770EE" w:rsidP="000770EE">
            <w:pPr>
              <w:pStyle w:val="Style7"/>
              <w:spacing w:before="103" w:line="240" w:lineRule="auto"/>
              <w:ind w:right="115" w:firstLine="0"/>
              <w:rPr>
                <w:bCs/>
                <w:noProof/>
                <w:sz w:val="20"/>
                <w:szCs w:val="20"/>
              </w:rPr>
            </w:pPr>
            <w:r w:rsidRPr="000770EE">
              <w:rPr>
                <w:bCs/>
                <w:noProof/>
                <w:sz w:val="20"/>
                <w:szCs w:val="20"/>
              </w:rPr>
              <w:t>W rezultacie, Krajowa Rada Notarialna kolejny raz podkreśla, że zwiększenie obciążeń notariuszy, zwłaszcza wobec braku aktualizacji stawek taksy notarialnej, doprowadzi do zmniejszenia dostępności usług notarialnych, a także do pogorszenia ich jakości wobec  konieczności  realizacji  nowych obowiązków kosztem podstawowych zobowiązań notariuszy wobec stron czynności. Nie negując zatem generalnie nałożenia na notariuszy pewnych obowiązków ze sfeiy publicznoprawnej, wynikających z zakresu dokonywanych przez nich czynności (np. realizacji obowiązków płatnika podatku od spadków i darowizn oraz podatku od czynności cywilnoprawnych czy też związanych z poborem opłat sądowych związanych ze składanymi przez notariuszy wnioskami o wpisy w księgach wieczystych), nałożenie na notariuszy nowych obowiązków ukierunkowanych w istocie na zastąpienie w czysto technicznej, „administracyjnej" pracy, którą powinny wykonywać jednostki zc sfery budżetowej, stoi w sprzeczności z przywołanymi wyżej założeniami   tak   leżącymi  u   podstaw  koncepcji   deregulacji, jak  też pryncypiami konstytucyjnoprawnymi, a przy tym utrudnia należyte realizowanie przez notariuszy zasadniczych zadań, do których są powołani - to jest dokonywania czynności, którym strony są obowiązane lub pragną nadać formę notarialną (czynności notarialnych). Stąd w opinii Krajowej Rady Notarialnej proponowana regulacja w zakresie, w jakim nakłada na notariuszy nowe obowiązki jest niedopuszczalna z perspektywy zarówno regulacji służących ochronie mikroprzedsiębiorców, pomijając koszty, jakie jej wprowadzenie spowoduje wśród prowadzących kancelarie notariuszy, wynikłe z konieczności dokonywania kolejnych czynności o charakterze administracyjno-technicznym, zbędnych z punktu widzenia treści czynności notarialnych.</w:t>
            </w:r>
          </w:p>
        </w:tc>
        <w:tc>
          <w:tcPr>
            <w:tcW w:w="4076" w:type="dxa"/>
          </w:tcPr>
          <w:p w14:paraId="69298A30" w14:textId="77777777" w:rsidR="000770EE" w:rsidRPr="000770EE" w:rsidRDefault="000770EE" w:rsidP="000770EE">
            <w:pPr>
              <w:jc w:val="both"/>
              <w:rPr>
                <w:rFonts w:ascii="Times New Roman" w:hAnsi="Times New Roman" w:cs="Times New Roman"/>
                <w:b/>
                <w:sz w:val="20"/>
                <w:szCs w:val="20"/>
              </w:rPr>
            </w:pPr>
            <w:r w:rsidRPr="000770EE">
              <w:rPr>
                <w:rFonts w:ascii="Times New Roman" w:hAnsi="Times New Roman" w:cs="Times New Roman"/>
                <w:b/>
                <w:sz w:val="20"/>
                <w:szCs w:val="20"/>
              </w:rPr>
              <w:lastRenderedPageBreak/>
              <w:t>Uwaga nieaktualna</w:t>
            </w:r>
          </w:p>
          <w:p w14:paraId="172A9DE9" w14:textId="79A7378A" w:rsidR="0088784B" w:rsidRPr="000770EE" w:rsidRDefault="000770EE" w:rsidP="000770EE">
            <w:pPr>
              <w:jc w:val="both"/>
              <w:rPr>
                <w:rFonts w:ascii="Times New Roman" w:hAnsi="Times New Roman" w:cs="Times New Roman"/>
                <w:bCs/>
                <w:sz w:val="20"/>
                <w:szCs w:val="20"/>
              </w:rPr>
            </w:pPr>
            <w:r w:rsidRPr="000770EE">
              <w:rPr>
                <w:rFonts w:ascii="Times New Roman" w:hAnsi="Times New Roman" w:cs="Times New Roman"/>
                <w:bCs/>
                <w:sz w:val="20"/>
                <w:szCs w:val="20"/>
              </w:rPr>
              <w:t>Projektodawca zrezygnował z dodania § 5 w art. 92a ustawy - Prawo o notariacie.</w:t>
            </w:r>
          </w:p>
        </w:tc>
      </w:tr>
      <w:tr w:rsidR="0088784B" w:rsidRPr="005134B0" w14:paraId="4331EEF6" w14:textId="77777777" w:rsidTr="00B241C8">
        <w:trPr>
          <w:jc w:val="center"/>
        </w:trPr>
        <w:tc>
          <w:tcPr>
            <w:tcW w:w="562" w:type="dxa"/>
          </w:tcPr>
          <w:p w14:paraId="501CE32A" w14:textId="28CCAAF6" w:rsidR="0088784B" w:rsidRPr="005134B0" w:rsidRDefault="000770EE"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41</w:t>
            </w:r>
            <w:r w:rsidR="0088784B">
              <w:rPr>
                <w:rFonts w:ascii="Times New Roman" w:hAnsi="Times New Roman" w:cs="Times New Roman"/>
                <w:bCs/>
                <w:sz w:val="20"/>
                <w:szCs w:val="20"/>
              </w:rPr>
              <w:t>.</w:t>
            </w:r>
          </w:p>
        </w:tc>
        <w:tc>
          <w:tcPr>
            <w:tcW w:w="1843" w:type="dxa"/>
            <w:vAlign w:val="center"/>
          </w:tcPr>
          <w:p w14:paraId="7F439E1E" w14:textId="72800843" w:rsidR="0088784B" w:rsidRPr="005134B0" w:rsidRDefault="000770EE"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Krajowa Rada Notarialna</w:t>
            </w:r>
          </w:p>
        </w:tc>
        <w:tc>
          <w:tcPr>
            <w:tcW w:w="1843" w:type="dxa"/>
            <w:vAlign w:val="center"/>
          </w:tcPr>
          <w:p w14:paraId="6015D943" w14:textId="7C6F4309" w:rsidR="0088784B" w:rsidRPr="005134B0" w:rsidRDefault="000770EE" w:rsidP="0088784B">
            <w:pPr>
              <w:spacing w:before="120" w:after="120"/>
              <w:jc w:val="both"/>
              <w:rPr>
                <w:rFonts w:ascii="Times New Roman" w:hAnsi="Times New Roman" w:cs="Times New Roman"/>
                <w:bCs/>
                <w:sz w:val="20"/>
                <w:szCs w:val="20"/>
              </w:rPr>
            </w:pPr>
            <w:r w:rsidRPr="000770EE">
              <w:rPr>
                <w:rFonts w:ascii="Times New Roman" w:hAnsi="Times New Roman" w:cs="Times New Roman"/>
                <w:bCs/>
                <w:sz w:val="20"/>
                <w:szCs w:val="20"/>
              </w:rPr>
              <w:t>art. 4 (art. 92  §  5a ustawy – Prawo o notariacie)</w:t>
            </w:r>
          </w:p>
        </w:tc>
        <w:tc>
          <w:tcPr>
            <w:tcW w:w="5670" w:type="dxa"/>
            <w:vAlign w:val="center"/>
          </w:tcPr>
          <w:p w14:paraId="64A49BDE" w14:textId="77777777"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Podsumowując, projektowany art. 92 § 5a Prawa o notariacie, nakładający na notariuszy obowiązek tworzenia zanonimizowanycłi wyciągów aktów notarialnych, budzi poważne zastrzeżenia ustrojowe, prawne oraz ekonomiczne, które jeśliby założenie projektu stało się obowiązującym prawem, będą poddane przez Krajową Radę Notarialną dalszym analizom celem zbadania konstytucyjności lub zgodności z prawem unijnym wprowadzonych rozwiązań. Zwięźle zastrzeżenia te można skonkludować w następujący sposób:</w:t>
            </w:r>
          </w:p>
          <w:p w14:paraId="19FC85C4" w14:textId="15D7CB6B"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1)</w:t>
            </w:r>
            <w:r>
              <w:rPr>
                <w:bCs/>
                <w:noProof/>
                <w:sz w:val="20"/>
                <w:szCs w:val="20"/>
              </w:rPr>
              <w:t xml:space="preserve"> </w:t>
            </w:r>
            <w:r w:rsidRPr="000770EE">
              <w:rPr>
                <w:bCs/>
                <w:noProof/>
                <w:sz w:val="20"/>
                <w:szCs w:val="20"/>
              </w:rPr>
              <w:t>projektowany obowiązek anonimizacji przerzuca czynności administracyjne i ryzyka z obszaru państwa na mikroprzedsiębiorców-notariuszy, naruszając zasadę proporcjonalności oraz wymogi stawiane przez regulacje Prawa przedsiębiorców co do konieczności minimalizacji obciążeń nakładanych na mikroprzedsiębiorców;</w:t>
            </w:r>
          </w:p>
          <w:p w14:paraId="07A47C2F" w14:textId="24CB567D"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2)</w:t>
            </w:r>
            <w:r>
              <w:rPr>
                <w:bCs/>
                <w:noProof/>
                <w:sz w:val="20"/>
                <w:szCs w:val="20"/>
              </w:rPr>
              <w:t xml:space="preserve"> </w:t>
            </w:r>
            <w:r w:rsidRPr="000770EE">
              <w:rPr>
                <w:bCs/>
                <w:noProof/>
                <w:sz w:val="20"/>
                <w:szCs w:val="20"/>
              </w:rPr>
              <w:t>przepis w obecnym brzmieniu nie spełnia wymogów art. 6 ust. 3 RODO - nie definiuje celu, zakresu danych, techniki i odpowiedzialności za przetwarzanie, tworząc stan niepewności prawnej i podwyższonego ryzyka;</w:t>
            </w:r>
          </w:p>
          <w:p w14:paraId="4C3CD198" w14:textId="4F486D26" w:rsidR="000770EE" w:rsidRPr="000770EE" w:rsidRDefault="000770EE" w:rsidP="000770EE">
            <w:pPr>
              <w:pStyle w:val="Style7"/>
              <w:spacing w:before="103" w:line="240" w:lineRule="auto"/>
              <w:ind w:right="115" w:firstLine="0"/>
              <w:rPr>
                <w:bCs/>
                <w:noProof/>
                <w:sz w:val="20"/>
                <w:szCs w:val="20"/>
              </w:rPr>
            </w:pPr>
            <w:r w:rsidRPr="000770EE">
              <w:rPr>
                <w:bCs/>
                <w:noProof/>
                <w:sz w:val="20"/>
                <w:szCs w:val="20"/>
              </w:rPr>
              <w:t>3)</w:t>
            </w:r>
            <w:r>
              <w:rPr>
                <w:bCs/>
                <w:noProof/>
                <w:sz w:val="20"/>
                <w:szCs w:val="20"/>
              </w:rPr>
              <w:t xml:space="preserve"> </w:t>
            </w:r>
            <w:r w:rsidRPr="000770EE">
              <w:rPr>
                <w:bCs/>
                <w:noProof/>
                <w:sz w:val="20"/>
                <w:szCs w:val="20"/>
              </w:rPr>
              <w:t>ten sam efekt (wyciąg bez danych zbędnych dla KRS) można osiągnąć środkami mniej dolegliwymi: centralną anonimizacją przez odpowiednią jednostkę zorganizowaną przez Ministerstwo Sprawiedliwości lub generowaniem anonimizacji przez obsługę administracyjną wydziałów KRS — co pokazuje, że wprowadzony obowiązek nie jest konieczny dla zapewnienia jego celu;</w:t>
            </w:r>
          </w:p>
          <w:p w14:paraId="413CBCA0" w14:textId="3E618E06" w:rsidR="0088784B" w:rsidRPr="005134B0" w:rsidRDefault="000770EE" w:rsidP="000770EE">
            <w:pPr>
              <w:pStyle w:val="Style7"/>
              <w:widowControl/>
              <w:spacing w:before="103" w:line="240" w:lineRule="auto"/>
              <w:ind w:right="115" w:firstLine="0"/>
              <w:rPr>
                <w:bCs/>
                <w:noProof/>
                <w:sz w:val="20"/>
                <w:szCs w:val="20"/>
              </w:rPr>
            </w:pPr>
            <w:r w:rsidRPr="000770EE">
              <w:rPr>
                <w:bCs/>
                <w:noProof/>
                <w:sz w:val="20"/>
                <w:szCs w:val="20"/>
              </w:rPr>
              <w:t>4)</w:t>
            </w:r>
            <w:r>
              <w:rPr>
                <w:bCs/>
                <w:noProof/>
                <w:sz w:val="20"/>
                <w:szCs w:val="20"/>
              </w:rPr>
              <w:t xml:space="preserve"> </w:t>
            </w:r>
            <w:r w:rsidRPr="000770EE">
              <w:rPr>
                <w:bCs/>
                <w:noProof/>
                <w:sz w:val="20"/>
                <w:szCs w:val="20"/>
              </w:rPr>
              <w:t>niezależnie od powyższych uwag, utrzymanie jakości i dostępności usług notarialnych przy dodatkowycłi obciążeniach wymaga równoległej, pilnej korekty rozporządzenia określającego maksymalne stawki taksy notarialnej.</w:t>
            </w:r>
          </w:p>
        </w:tc>
        <w:tc>
          <w:tcPr>
            <w:tcW w:w="4076" w:type="dxa"/>
          </w:tcPr>
          <w:p w14:paraId="0EBDF6F1" w14:textId="77777777" w:rsidR="000770EE" w:rsidRPr="000770EE" w:rsidRDefault="000770EE" w:rsidP="000770EE">
            <w:pPr>
              <w:jc w:val="both"/>
              <w:rPr>
                <w:rFonts w:ascii="Times New Roman" w:hAnsi="Times New Roman" w:cs="Times New Roman"/>
                <w:b/>
                <w:sz w:val="20"/>
                <w:szCs w:val="20"/>
              </w:rPr>
            </w:pPr>
            <w:r w:rsidRPr="000770EE">
              <w:rPr>
                <w:rFonts w:ascii="Times New Roman" w:hAnsi="Times New Roman" w:cs="Times New Roman"/>
                <w:b/>
                <w:sz w:val="20"/>
                <w:szCs w:val="20"/>
              </w:rPr>
              <w:t>Uwaga nieaktualna</w:t>
            </w:r>
          </w:p>
          <w:p w14:paraId="521D256F" w14:textId="28B74548" w:rsidR="0088784B" w:rsidRPr="00C56419" w:rsidRDefault="000770EE" w:rsidP="000770EE">
            <w:pPr>
              <w:jc w:val="both"/>
              <w:rPr>
                <w:rFonts w:ascii="Times New Roman" w:hAnsi="Times New Roman" w:cs="Times New Roman"/>
                <w:bCs/>
                <w:sz w:val="20"/>
                <w:szCs w:val="20"/>
              </w:rPr>
            </w:pPr>
            <w:r w:rsidRPr="000770EE">
              <w:rPr>
                <w:rFonts w:ascii="Times New Roman" w:hAnsi="Times New Roman" w:cs="Times New Roman"/>
                <w:bCs/>
                <w:sz w:val="20"/>
                <w:szCs w:val="20"/>
              </w:rPr>
              <w:t>Projektodawca zrezygnował z dodania § 5 w art. 92a ustawy - Prawo o notariacie.</w:t>
            </w:r>
          </w:p>
        </w:tc>
      </w:tr>
      <w:tr w:rsidR="0088784B" w:rsidRPr="005134B0" w14:paraId="0DB5A589" w14:textId="77777777" w:rsidTr="00B241C8">
        <w:trPr>
          <w:jc w:val="center"/>
        </w:trPr>
        <w:tc>
          <w:tcPr>
            <w:tcW w:w="562" w:type="dxa"/>
          </w:tcPr>
          <w:p w14:paraId="3A8B2416" w14:textId="3DB8F67C" w:rsidR="0088784B" w:rsidRPr="005134B0" w:rsidRDefault="00C548E9"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42</w:t>
            </w:r>
            <w:r w:rsidR="0088784B">
              <w:rPr>
                <w:rFonts w:ascii="Times New Roman" w:hAnsi="Times New Roman" w:cs="Times New Roman"/>
                <w:bCs/>
                <w:sz w:val="20"/>
                <w:szCs w:val="20"/>
              </w:rPr>
              <w:t>.</w:t>
            </w:r>
          </w:p>
        </w:tc>
        <w:tc>
          <w:tcPr>
            <w:tcW w:w="1843" w:type="dxa"/>
            <w:vAlign w:val="center"/>
          </w:tcPr>
          <w:p w14:paraId="06F42B00" w14:textId="3D51FA4F" w:rsidR="0088784B" w:rsidRPr="00187469" w:rsidRDefault="00C548E9" w:rsidP="0088784B">
            <w:pPr>
              <w:spacing w:before="120" w:after="120"/>
              <w:jc w:val="both"/>
              <w:rPr>
                <w:rStyle w:val="FontStyle16"/>
                <w:sz w:val="20"/>
                <w:szCs w:val="20"/>
              </w:rPr>
            </w:pPr>
            <w:r w:rsidRPr="00187469">
              <w:rPr>
                <w:rStyle w:val="FontStyle16"/>
                <w:sz w:val="20"/>
                <w:szCs w:val="20"/>
              </w:rPr>
              <w:t>UKNF</w:t>
            </w:r>
          </w:p>
        </w:tc>
        <w:tc>
          <w:tcPr>
            <w:tcW w:w="1843" w:type="dxa"/>
            <w:vAlign w:val="center"/>
          </w:tcPr>
          <w:p w14:paraId="60224BA8" w14:textId="23021542" w:rsidR="0088784B" w:rsidRPr="005134B0" w:rsidRDefault="00C548E9" w:rsidP="0088784B">
            <w:pPr>
              <w:spacing w:before="120" w:after="120"/>
              <w:jc w:val="both"/>
              <w:rPr>
                <w:rFonts w:ascii="Times New Roman" w:hAnsi="Times New Roman" w:cs="Times New Roman"/>
                <w:bCs/>
                <w:sz w:val="20"/>
                <w:szCs w:val="20"/>
              </w:rPr>
            </w:pPr>
            <w:r>
              <w:rPr>
                <w:rFonts w:ascii="Times New Roman" w:hAnsi="Times New Roman" w:cs="Times New Roman"/>
                <w:bCs/>
                <w:sz w:val="20"/>
                <w:szCs w:val="20"/>
              </w:rPr>
              <w:t xml:space="preserve">Art. 5 (art. </w:t>
            </w:r>
            <w:r w:rsidR="00775DA1">
              <w:rPr>
                <w:rFonts w:ascii="Times New Roman" w:hAnsi="Times New Roman" w:cs="Times New Roman"/>
                <w:bCs/>
                <w:sz w:val="20"/>
                <w:szCs w:val="20"/>
              </w:rPr>
              <w:t>70a ustawy o rachunkowości)</w:t>
            </w:r>
          </w:p>
        </w:tc>
        <w:tc>
          <w:tcPr>
            <w:tcW w:w="5670" w:type="dxa"/>
            <w:vAlign w:val="center"/>
          </w:tcPr>
          <w:p w14:paraId="7F688247" w14:textId="086CCB79" w:rsidR="00775DA1" w:rsidRPr="00775DA1" w:rsidRDefault="00775DA1" w:rsidP="00775DA1">
            <w:pPr>
              <w:spacing w:line="240" w:lineRule="exact"/>
              <w:jc w:val="both"/>
              <w:rPr>
                <w:rFonts w:ascii="Times New Roman" w:hAnsi="Times New Roman" w:cs="Times New Roman"/>
                <w:sz w:val="20"/>
                <w:szCs w:val="20"/>
              </w:rPr>
            </w:pPr>
            <w:r>
              <w:rPr>
                <w:rFonts w:ascii="Times New Roman" w:hAnsi="Times New Roman" w:cs="Times New Roman"/>
                <w:sz w:val="20"/>
                <w:szCs w:val="20"/>
              </w:rPr>
              <w:t>W</w:t>
            </w:r>
            <w:r w:rsidRPr="00775DA1">
              <w:rPr>
                <w:rFonts w:ascii="Times New Roman" w:hAnsi="Times New Roman" w:cs="Times New Roman"/>
                <w:sz w:val="20"/>
                <w:szCs w:val="20"/>
              </w:rPr>
              <w:t xml:space="preserve"> celu zachowania spójności projektu z brzmieniem art. 2 ust. 2a ustawy z dnia 29 września 1994 r. o rachunkowości (Dz. U. z 2023 r. poz. 120, z </w:t>
            </w:r>
            <w:proofErr w:type="spellStart"/>
            <w:r w:rsidRPr="00775DA1">
              <w:rPr>
                <w:rFonts w:ascii="Times New Roman" w:hAnsi="Times New Roman" w:cs="Times New Roman"/>
                <w:sz w:val="20"/>
                <w:szCs w:val="20"/>
              </w:rPr>
              <w:t>późn</w:t>
            </w:r>
            <w:proofErr w:type="spellEnd"/>
            <w:r w:rsidRPr="00775DA1">
              <w:rPr>
                <w:rFonts w:ascii="Times New Roman" w:hAnsi="Times New Roman" w:cs="Times New Roman"/>
                <w:sz w:val="20"/>
                <w:szCs w:val="20"/>
              </w:rPr>
              <w:t>. zm.),</w:t>
            </w:r>
            <w:r>
              <w:rPr>
                <w:rFonts w:ascii="Times New Roman" w:hAnsi="Times New Roman" w:cs="Times New Roman"/>
                <w:sz w:val="20"/>
                <w:szCs w:val="20"/>
              </w:rPr>
              <w:t xml:space="preserve"> </w:t>
            </w:r>
            <w:r w:rsidRPr="00775DA1">
              <w:rPr>
                <w:rFonts w:ascii="Times New Roman" w:hAnsi="Times New Roman" w:cs="Times New Roman"/>
                <w:sz w:val="20"/>
                <w:szCs w:val="20"/>
              </w:rPr>
              <w:t>zwanej dalej „ustawą o rachunkowości”, nadanym art. 1 pkt 1 lit. c ustawy z dnia 6 grudnia 2024 r. o zmianie ustawy o rachunkowości, ustawy o biegłych rewidentach,</w:t>
            </w:r>
          </w:p>
          <w:p w14:paraId="675AD1DB" w14:textId="77777777" w:rsidR="00775DA1" w:rsidRPr="00775DA1" w:rsidRDefault="00775DA1" w:rsidP="00775DA1">
            <w:pPr>
              <w:spacing w:line="240" w:lineRule="exact"/>
              <w:jc w:val="both"/>
              <w:rPr>
                <w:rFonts w:ascii="Times New Roman" w:hAnsi="Times New Roman" w:cs="Times New Roman"/>
                <w:sz w:val="20"/>
                <w:szCs w:val="20"/>
              </w:rPr>
            </w:pPr>
            <w:r w:rsidRPr="00775DA1">
              <w:rPr>
                <w:rFonts w:ascii="Times New Roman" w:hAnsi="Times New Roman" w:cs="Times New Roman"/>
                <w:sz w:val="20"/>
                <w:szCs w:val="20"/>
              </w:rPr>
              <w:lastRenderedPageBreak/>
              <w:t>firmach audytorskich oraz nadzorze publicznym oraz niektórych innych ustaw (Dz. U. poz. 1863), UKNF proponuje zmianę projektowanego brzmienia art. 70a ustawy</w:t>
            </w:r>
          </w:p>
          <w:p w14:paraId="2231A656" w14:textId="77777777" w:rsidR="00775DA1" w:rsidRPr="00775DA1" w:rsidRDefault="00775DA1" w:rsidP="00775DA1">
            <w:pPr>
              <w:spacing w:line="240" w:lineRule="exact"/>
              <w:jc w:val="both"/>
              <w:rPr>
                <w:rFonts w:ascii="Times New Roman" w:hAnsi="Times New Roman" w:cs="Times New Roman"/>
                <w:sz w:val="20"/>
                <w:szCs w:val="20"/>
              </w:rPr>
            </w:pPr>
            <w:r w:rsidRPr="00775DA1">
              <w:rPr>
                <w:rFonts w:ascii="Times New Roman" w:hAnsi="Times New Roman" w:cs="Times New Roman"/>
                <w:sz w:val="20"/>
                <w:szCs w:val="20"/>
              </w:rPr>
              <w:t>o rachunkowości (art. 5 projektu) poprzez:</w:t>
            </w:r>
          </w:p>
          <w:p w14:paraId="1D8B72A0" w14:textId="6F66DEE7" w:rsidR="00775DA1" w:rsidRPr="00775DA1" w:rsidRDefault="00775DA1" w:rsidP="00775DA1">
            <w:pPr>
              <w:spacing w:line="240" w:lineRule="exact"/>
              <w:jc w:val="both"/>
              <w:rPr>
                <w:rFonts w:ascii="Times New Roman" w:hAnsi="Times New Roman" w:cs="Times New Roman"/>
                <w:sz w:val="20"/>
                <w:szCs w:val="20"/>
              </w:rPr>
            </w:pPr>
            <w:r w:rsidRPr="00775DA1">
              <w:rPr>
                <w:rFonts w:ascii="Times New Roman" w:hAnsi="Times New Roman" w:cs="Times New Roman"/>
                <w:sz w:val="20"/>
                <w:szCs w:val="20"/>
              </w:rPr>
              <w:t>1) zastąpienie wyrażenia „przychody netto ze sprzedaży towarów, produktów i operacji finansowych” wyrażeniem „przychody netto ze sprzedaży towarów</w:t>
            </w:r>
            <w:r>
              <w:rPr>
                <w:rFonts w:ascii="Times New Roman" w:hAnsi="Times New Roman" w:cs="Times New Roman"/>
                <w:sz w:val="20"/>
                <w:szCs w:val="20"/>
              </w:rPr>
              <w:t xml:space="preserve"> </w:t>
            </w:r>
            <w:r w:rsidRPr="00775DA1">
              <w:rPr>
                <w:rFonts w:ascii="Times New Roman" w:hAnsi="Times New Roman" w:cs="Times New Roman"/>
                <w:sz w:val="20"/>
                <w:szCs w:val="20"/>
              </w:rPr>
              <w:t>i produktów”;</w:t>
            </w:r>
          </w:p>
          <w:p w14:paraId="1EBD4FC3" w14:textId="09B92B4F" w:rsidR="0088784B" w:rsidRPr="005134B0" w:rsidRDefault="00775DA1" w:rsidP="00775DA1">
            <w:pPr>
              <w:spacing w:line="240" w:lineRule="exact"/>
              <w:jc w:val="both"/>
              <w:rPr>
                <w:rFonts w:ascii="Times New Roman" w:hAnsi="Times New Roman" w:cs="Times New Roman"/>
                <w:sz w:val="20"/>
                <w:szCs w:val="20"/>
              </w:rPr>
            </w:pPr>
            <w:r w:rsidRPr="00775DA1">
              <w:rPr>
                <w:rFonts w:ascii="Times New Roman" w:hAnsi="Times New Roman" w:cs="Times New Roman"/>
                <w:sz w:val="20"/>
                <w:szCs w:val="20"/>
              </w:rPr>
              <w:t>2) zwiększenie wskazanej w omawianym przepisie kwoty 2 000 000 euro do kwoty 2 500 000 euro.</w:t>
            </w:r>
          </w:p>
        </w:tc>
        <w:tc>
          <w:tcPr>
            <w:tcW w:w="4076" w:type="dxa"/>
          </w:tcPr>
          <w:p w14:paraId="5FA9BC9C" w14:textId="0BDD67D0" w:rsidR="0088784B" w:rsidRPr="00775DA1" w:rsidRDefault="00775DA1" w:rsidP="0088784B">
            <w:pPr>
              <w:spacing w:before="120"/>
              <w:jc w:val="both"/>
              <w:rPr>
                <w:rFonts w:ascii="Times New Roman" w:hAnsi="Times New Roman" w:cs="Times New Roman"/>
                <w:b/>
                <w:sz w:val="20"/>
                <w:szCs w:val="20"/>
              </w:rPr>
            </w:pPr>
            <w:r>
              <w:rPr>
                <w:rFonts w:ascii="Times New Roman" w:hAnsi="Times New Roman" w:cs="Times New Roman"/>
                <w:b/>
                <w:sz w:val="20"/>
                <w:szCs w:val="20"/>
              </w:rPr>
              <w:lastRenderedPageBreak/>
              <w:t>Uwaga uwzględniona</w:t>
            </w:r>
          </w:p>
        </w:tc>
      </w:tr>
      <w:tr w:rsidR="0088784B" w:rsidRPr="005134B0" w14:paraId="51668175" w14:textId="77777777" w:rsidTr="00B241C8">
        <w:trPr>
          <w:jc w:val="center"/>
        </w:trPr>
        <w:tc>
          <w:tcPr>
            <w:tcW w:w="562" w:type="dxa"/>
          </w:tcPr>
          <w:p w14:paraId="50D6FDB7" w14:textId="1A0413D8" w:rsidR="0088784B" w:rsidRPr="005134B0" w:rsidRDefault="00B82966"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43</w:t>
            </w:r>
            <w:r w:rsidR="0088784B">
              <w:rPr>
                <w:rFonts w:ascii="Times New Roman" w:hAnsi="Times New Roman" w:cs="Times New Roman"/>
                <w:bCs/>
                <w:sz w:val="20"/>
                <w:szCs w:val="20"/>
              </w:rPr>
              <w:t>.</w:t>
            </w:r>
          </w:p>
        </w:tc>
        <w:tc>
          <w:tcPr>
            <w:tcW w:w="1843" w:type="dxa"/>
            <w:vAlign w:val="center"/>
          </w:tcPr>
          <w:p w14:paraId="62D0396F" w14:textId="2DA2456E" w:rsidR="0088784B" w:rsidRPr="00187469" w:rsidRDefault="00B82966" w:rsidP="0088784B">
            <w:pPr>
              <w:spacing w:before="120" w:after="120"/>
              <w:jc w:val="both"/>
              <w:rPr>
                <w:rStyle w:val="FontStyle16"/>
                <w:sz w:val="20"/>
                <w:szCs w:val="20"/>
              </w:rPr>
            </w:pPr>
            <w:r w:rsidRPr="00187469">
              <w:rPr>
                <w:rStyle w:val="FontStyle16"/>
                <w:sz w:val="20"/>
                <w:szCs w:val="20"/>
              </w:rPr>
              <w:t>SA w Warszawie</w:t>
            </w:r>
          </w:p>
        </w:tc>
        <w:tc>
          <w:tcPr>
            <w:tcW w:w="1843" w:type="dxa"/>
            <w:vAlign w:val="center"/>
          </w:tcPr>
          <w:p w14:paraId="69383D00" w14:textId="1ABA0161" w:rsidR="0088784B" w:rsidRPr="006321C8" w:rsidRDefault="00B82966" w:rsidP="0088784B">
            <w:pPr>
              <w:spacing w:before="120" w:after="120"/>
              <w:jc w:val="both"/>
              <w:rPr>
                <w:rFonts w:ascii="Times New Roman" w:hAnsi="Times New Roman" w:cs="Times New Roman"/>
                <w:bCs/>
                <w:sz w:val="20"/>
                <w:szCs w:val="20"/>
              </w:rPr>
            </w:pPr>
            <w:r w:rsidRPr="006321C8">
              <w:rPr>
                <w:rFonts w:ascii="Times New Roman" w:hAnsi="Times New Roman" w:cs="Times New Roman"/>
                <w:bCs/>
                <w:sz w:val="20"/>
                <w:szCs w:val="20"/>
              </w:rPr>
              <w:t>Art. 6 (art. 50 ust. 19 ustawy o systemie ubezpieczeń społecznych)</w:t>
            </w:r>
          </w:p>
        </w:tc>
        <w:tc>
          <w:tcPr>
            <w:tcW w:w="5670" w:type="dxa"/>
            <w:vAlign w:val="center"/>
          </w:tcPr>
          <w:p w14:paraId="2D89157F" w14:textId="67D3015F" w:rsidR="0088784B" w:rsidRPr="005134B0" w:rsidRDefault="00B82966" w:rsidP="0088784B">
            <w:pPr>
              <w:spacing w:line="240" w:lineRule="exact"/>
              <w:jc w:val="both"/>
              <w:rPr>
                <w:rFonts w:ascii="Times New Roman" w:hAnsi="Times New Roman" w:cs="Times New Roman"/>
                <w:sz w:val="20"/>
                <w:szCs w:val="20"/>
              </w:rPr>
            </w:pPr>
            <w:r w:rsidRPr="00B82966">
              <w:rPr>
                <w:rFonts w:ascii="Times New Roman" w:hAnsi="Times New Roman" w:cs="Times New Roman"/>
                <w:sz w:val="20"/>
                <w:szCs w:val="20"/>
              </w:rPr>
              <w:t>Art.</w:t>
            </w:r>
            <w:r>
              <w:rPr>
                <w:rFonts w:ascii="Times New Roman" w:hAnsi="Times New Roman" w:cs="Times New Roman"/>
                <w:sz w:val="20"/>
                <w:szCs w:val="20"/>
              </w:rPr>
              <w:t xml:space="preserve"> </w:t>
            </w:r>
            <w:r w:rsidRPr="00B82966">
              <w:rPr>
                <w:rFonts w:ascii="Times New Roman" w:hAnsi="Times New Roman" w:cs="Times New Roman"/>
                <w:sz w:val="20"/>
                <w:szCs w:val="20"/>
              </w:rPr>
              <w:t>6 w ustawie z dnia 13 października 1998r. o systemie ubezpieczeń społecznych - zakład udziela odpowiedzi bezpłatnie i bez zbędnej zwłoki</w:t>
            </w:r>
          </w:p>
        </w:tc>
        <w:tc>
          <w:tcPr>
            <w:tcW w:w="4076" w:type="dxa"/>
          </w:tcPr>
          <w:p w14:paraId="7F0A8392" w14:textId="559D737D" w:rsidR="0088784B" w:rsidRPr="00B82966" w:rsidRDefault="00B82966" w:rsidP="0088784B">
            <w:pPr>
              <w:spacing w:before="120"/>
              <w:jc w:val="both"/>
              <w:rPr>
                <w:rFonts w:ascii="Times New Roman" w:hAnsi="Times New Roman" w:cs="Times New Roman"/>
                <w:b/>
                <w:sz w:val="20"/>
                <w:szCs w:val="20"/>
              </w:rPr>
            </w:pPr>
            <w:r w:rsidRPr="00B82966">
              <w:rPr>
                <w:rFonts w:ascii="Times New Roman" w:hAnsi="Times New Roman" w:cs="Times New Roman"/>
                <w:b/>
                <w:sz w:val="20"/>
                <w:szCs w:val="20"/>
              </w:rPr>
              <w:t>Uwaga uwzględniona</w:t>
            </w:r>
          </w:p>
        </w:tc>
      </w:tr>
      <w:tr w:rsidR="0088784B" w:rsidRPr="005134B0" w14:paraId="5A6BB028" w14:textId="77777777" w:rsidTr="00B241C8">
        <w:trPr>
          <w:jc w:val="center"/>
        </w:trPr>
        <w:tc>
          <w:tcPr>
            <w:tcW w:w="562" w:type="dxa"/>
          </w:tcPr>
          <w:p w14:paraId="03FB3C5F" w14:textId="620859C9" w:rsidR="0088784B" w:rsidRPr="005134B0" w:rsidRDefault="00187469"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44</w:t>
            </w:r>
            <w:r w:rsidR="0088784B">
              <w:rPr>
                <w:rFonts w:ascii="Times New Roman" w:hAnsi="Times New Roman" w:cs="Times New Roman"/>
                <w:bCs/>
                <w:sz w:val="20"/>
                <w:szCs w:val="20"/>
              </w:rPr>
              <w:t>.</w:t>
            </w:r>
          </w:p>
        </w:tc>
        <w:tc>
          <w:tcPr>
            <w:tcW w:w="1843" w:type="dxa"/>
            <w:vAlign w:val="center"/>
          </w:tcPr>
          <w:p w14:paraId="5847C4E7" w14:textId="4E68465F" w:rsidR="0088784B" w:rsidRPr="00E55C90" w:rsidRDefault="00187469" w:rsidP="0088784B">
            <w:pPr>
              <w:spacing w:before="120" w:after="120"/>
              <w:jc w:val="both"/>
              <w:rPr>
                <w:rStyle w:val="FontStyle16"/>
                <w:sz w:val="20"/>
                <w:szCs w:val="20"/>
              </w:rPr>
            </w:pPr>
            <w:r w:rsidRPr="00E55C90">
              <w:rPr>
                <w:rStyle w:val="FontStyle16"/>
                <w:sz w:val="20"/>
                <w:szCs w:val="20"/>
              </w:rPr>
              <w:t>SA w Poznaniu</w:t>
            </w:r>
          </w:p>
        </w:tc>
        <w:tc>
          <w:tcPr>
            <w:tcW w:w="1843" w:type="dxa"/>
            <w:vAlign w:val="center"/>
          </w:tcPr>
          <w:p w14:paraId="5459BB31" w14:textId="35A263CC" w:rsidR="0088784B" w:rsidRPr="00E55C90" w:rsidRDefault="0048554C" w:rsidP="0088784B">
            <w:pPr>
              <w:spacing w:before="120" w:after="120"/>
              <w:jc w:val="both"/>
              <w:rPr>
                <w:rFonts w:ascii="Times New Roman" w:hAnsi="Times New Roman" w:cs="Times New Roman"/>
                <w:bCs/>
                <w:sz w:val="20"/>
                <w:szCs w:val="20"/>
                <w:lang w:val="en-US"/>
              </w:rPr>
            </w:pPr>
            <w:r w:rsidRPr="00E55C90">
              <w:rPr>
                <w:rFonts w:ascii="Times New Roman" w:hAnsi="Times New Roman" w:cs="Times New Roman"/>
                <w:bCs/>
                <w:sz w:val="20"/>
                <w:szCs w:val="20"/>
                <w:lang w:val="en-US"/>
              </w:rPr>
              <w:t>Art. 10</w:t>
            </w:r>
          </w:p>
        </w:tc>
        <w:tc>
          <w:tcPr>
            <w:tcW w:w="5670" w:type="dxa"/>
            <w:vAlign w:val="center"/>
          </w:tcPr>
          <w:p w14:paraId="116F2883" w14:textId="5B5193B4" w:rsidR="0088784B" w:rsidRPr="005134B0" w:rsidRDefault="0048554C" w:rsidP="0088784B">
            <w:pPr>
              <w:spacing w:line="240" w:lineRule="exact"/>
              <w:jc w:val="both"/>
              <w:rPr>
                <w:rStyle w:val="FontStyle16"/>
                <w:sz w:val="20"/>
                <w:szCs w:val="20"/>
              </w:rPr>
            </w:pPr>
            <w:r>
              <w:rPr>
                <w:rStyle w:val="FontStyle16"/>
                <w:sz w:val="20"/>
                <w:szCs w:val="20"/>
              </w:rPr>
              <w:t>W</w:t>
            </w:r>
            <w:r w:rsidRPr="0048554C">
              <w:rPr>
                <w:rStyle w:val="FontStyle16"/>
                <w:sz w:val="20"/>
                <w:szCs w:val="20"/>
              </w:rPr>
              <w:t xml:space="preserve"> art. 10 projektu po słowach „nałożonej grzywny nie skierowano do egzekucji” dopisać „nałożoną grzywnę skierowano do egzekucji” (postępowanie egzekucyjne dot. nałożonej grzywny często trwa ok. 12 miesięcy i w tym czasie, wobec braku ww. dodatkowego zapisu nie będzie możliwości wpisania w rejestrze dla danego podmiotu wzmianki o niewykonywaniu obowiązku złożenia dokumentów finansowych</w:t>
            </w:r>
          </w:p>
        </w:tc>
        <w:tc>
          <w:tcPr>
            <w:tcW w:w="4076" w:type="dxa"/>
          </w:tcPr>
          <w:p w14:paraId="6168A315" w14:textId="77777777" w:rsidR="0088784B" w:rsidRDefault="0048554C" w:rsidP="0048554C">
            <w:pPr>
              <w:spacing w:before="120"/>
              <w:jc w:val="both"/>
              <w:rPr>
                <w:rFonts w:ascii="Times New Roman" w:hAnsi="Times New Roman" w:cs="Times New Roman"/>
                <w:b/>
                <w:sz w:val="20"/>
                <w:szCs w:val="20"/>
              </w:rPr>
            </w:pPr>
            <w:r>
              <w:rPr>
                <w:rFonts w:ascii="Times New Roman" w:hAnsi="Times New Roman" w:cs="Times New Roman"/>
                <w:b/>
                <w:sz w:val="20"/>
                <w:szCs w:val="20"/>
              </w:rPr>
              <w:t>Uwaga nieuwzględniona</w:t>
            </w:r>
          </w:p>
          <w:p w14:paraId="7071D7AB" w14:textId="25025959" w:rsidR="0048554C" w:rsidRPr="0048554C" w:rsidRDefault="0048554C" w:rsidP="0048554C">
            <w:pPr>
              <w:spacing w:before="120"/>
              <w:jc w:val="both"/>
              <w:rPr>
                <w:rFonts w:ascii="Times New Roman" w:hAnsi="Times New Roman" w:cs="Times New Roman"/>
                <w:bCs/>
                <w:sz w:val="20"/>
                <w:szCs w:val="20"/>
              </w:rPr>
            </w:pPr>
            <w:r w:rsidRPr="0048554C">
              <w:rPr>
                <w:rFonts w:ascii="Times New Roman" w:hAnsi="Times New Roman" w:cs="Times New Roman"/>
                <w:bCs/>
                <w:sz w:val="20"/>
                <w:szCs w:val="20"/>
              </w:rPr>
              <w:t>Jak wskazano w pkt III uzasadnieni</w:t>
            </w:r>
            <w:r w:rsidR="00E55C90">
              <w:rPr>
                <w:rFonts w:ascii="Times New Roman" w:hAnsi="Times New Roman" w:cs="Times New Roman"/>
                <w:bCs/>
                <w:sz w:val="20"/>
                <w:szCs w:val="20"/>
              </w:rPr>
              <w:t>a</w:t>
            </w:r>
            <w:r w:rsidRPr="0048554C">
              <w:rPr>
                <w:rFonts w:ascii="Times New Roman" w:hAnsi="Times New Roman" w:cs="Times New Roman"/>
                <w:bCs/>
                <w:sz w:val="20"/>
                <w:szCs w:val="20"/>
              </w:rPr>
              <w:t xml:space="preserve"> </w:t>
            </w:r>
            <w:r w:rsidR="00E55C90">
              <w:rPr>
                <w:rFonts w:ascii="Times New Roman" w:hAnsi="Times New Roman" w:cs="Times New Roman"/>
                <w:bCs/>
                <w:sz w:val="20"/>
                <w:szCs w:val="20"/>
              </w:rPr>
              <w:t>p</w:t>
            </w:r>
            <w:r w:rsidRPr="0048554C">
              <w:rPr>
                <w:rFonts w:ascii="Times New Roman" w:hAnsi="Times New Roman" w:cs="Times New Roman"/>
                <w:bCs/>
                <w:sz w:val="20"/>
                <w:szCs w:val="20"/>
              </w:rPr>
              <w:t>rojekt</w:t>
            </w:r>
            <w:r w:rsidR="00E55C90">
              <w:rPr>
                <w:rFonts w:ascii="Times New Roman" w:hAnsi="Times New Roman" w:cs="Times New Roman"/>
                <w:bCs/>
                <w:sz w:val="20"/>
                <w:szCs w:val="20"/>
              </w:rPr>
              <w:t xml:space="preserve"> ustawy</w:t>
            </w:r>
            <w:r w:rsidRPr="0048554C">
              <w:rPr>
                <w:rFonts w:ascii="Times New Roman" w:hAnsi="Times New Roman" w:cs="Times New Roman"/>
                <w:bCs/>
                <w:sz w:val="20"/>
                <w:szCs w:val="20"/>
              </w:rPr>
              <w:t xml:space="preserve"> przewiduje, że do postępowań przed sądem rejestrowym wszczętych</w:t>
            </w:r>
            <w:r>
              <w:rPr>
                <w:rFonts w:ascii="Times New Roman" w:hAnsi="Times New Roman" w:cs="Times New Roman"/>
                <w:bCs/>
                <w:sz w:val="20"/>
                <w:szCs w:val="20"/>
              </w:rPr>
              <w:t xml:space="preserve"> </w:t>
            </w:r>
            <w:r w:rsidRPr="0048554C">
              <w:rPr>
                <w:rFonts w:ascii="Times New Roman" w:hAnsi="Times New Roman" w:cs="Times New Roman"/>
                <w:bCs/>
                <w:sz w:val="20"/>
                <w:szCs w:val="20"/>
              </w:rPr>
              <w:t xml:space="preserve">i niezakończonych przed dniem wejścia w życie niniejszej ustawy znajdą zastosowanie przepisy dotychczasowe. Wyjątek od tej zasady ma dotyczyć postępowań przymuszających do złożenia dokumentów, o których mowa w art. 9a ust. 2 ustawy zmienianej w art. 1, w których przed dniem wejścia w życie niniejszej ustawy nie nałożono grzywny, grzywny nałożonej nie skierowano do egzekucji albo pomimo uiszczenia wszystkich grzywien dokumenty, o których mowa w art. 9a ust. 2 lub oświadczenia, o których mowa w art. 70a ustawy o rachunkowości, nie zostały złożone. W tym przypadku za celowe uznano zastosowanie przepisów ustawy zmienianej w art. 1 ustawy nowelizującej w brzmieniu nadanym tą ustawą. Rozwiązanie takie ma na celu dopuszczenie </w:t>
            </w:r>
            <w:r w:rsidRPr="0048554C">
              <w:rPr>
                <w:rFonts w:ascii="Times New Roman" w:hAnsi="Times New Roman" w:cs="Times New Roman"/>
                <w:bCs/>
                <w:sz w:val="20"/>
                <w:szCs w:val="20"/>
              </w:rPr>
              <w:lastRenderedPageBreak/>
              <w:t xml:space="preserve">możliwości wpisu do Rejestru wzmianki o niewykonywaniu obowiązku złożenia dokumentów finansowych pomimo wezwania sądu w postępowaniach przymuszających, będących w chwili wejścia w życie nowelizacji w toku. Tym samym postępowania takie uległyby zakończeniu z chwilą wpisu wzmianki. Nie dotyczyłoby to jednak postępowań, w których nałożono grzywnę. Uznano bowiem, że w takich sytuacjach zastosowanie nowych przepisów mogłoby generować czynności związane z koniecznością uchylania grzywien lub umarzania egzekucji, a nadto rodzić ryzyko omyłkowego kontynuowania postępowania egzekucyjnego mimo wpisu wzmianki. Czynności takie stanowiłyby znaczne obciążenie dla sądów rejestrowych. Ponadto wzięto pod uwagę, że większość toczących się obecnie postępowań przymuszających, w których nałożono grzywnę, znajduje się już na etapie postępowania egzekucyjnego. Rezygnacja z prowadzenia takich postępowań na doczasowych zasadach skutkowałaby koniecznością pokrycia kosztów prowadzonych egzekucji przez Skarb Państwa. Byłoby to rozwiązanie nieracjonalne zważywszy, że część z prowadzonych postępowań egzekucyjnych byłaby skuteczna.   </w:t>
            </w:r>
          </w:p>
        </w:tc>
      </w:tr>
      <w:tr w:rsidR="0088784B" w:rsidRPr="005134B0" w14:paraId="2653F709" w14:textId="77777777" w:rsidTr="00B241C8">
        <w:trPr>
          <w:jc w:val="center"/>
        </w:trPr>
        <w:tc>
          <w:tcPr>
            <w:tcW w:w="562" w:type="dxa"/>
          </w:tcPr>
          <w:p w14:paraId="449FDE11" w14:textId="64980743" w:rsidR="0088784B" w:rsidRPr="005134B0" w:rsidRDefault="002E6808"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lastRenderedPageBreak/>
              <w:t>45</w:t>
            </w:r>
            <w:r w:rsidR="0088784B">
              <w:rPr>
                <w:rFonts w:ascii="Times New Roman" w:hAnsi="Times New Roman" w:cs="Times New Roman"/>
                <w:bCs/>
                <w:sz w:val="20"/>
                <w:szCs w:val="20"/>
              </w:rPr>
              <w:t>.</w:t>
            </w:r>
          </w:p>
        </w:tc>
        <w:tc>
          <w:tcPr>
            <w:tcW w:w="1843" w:type="dxa"/>
            <w:vAlign w:val="center"/>
          </w:tcPr>
          <w:p w14:paraId="44170E43" w14:textId="06BDC230" w:rsidR="0088784B" w:rsidRPr="002E6808" w:rsidRDefault="002E6808" w:rsidP="0088784B">
            <w:pPr>
              <w:spacing w:before="120" w:after="120"/>
              <w:jc w:val="both"/>
              <w:rPr>
                <w:rStyle w:val="FontStyle16"/>
                <w:sz w:val="20"/>
                <w:szCs w:val="20"/>
              </w:rPr>
            </w:pPr>
            <w:r w:rsidRPr="002E6808">
              <w:rPr>
                <w:rStyle w:val="FontStyle16"/>
                <w:sz w:val="20"/>
                <w:szCs w:val="20"/>
              </w:rPr>
              <w:t>SA w Rzeszowie</w:t>
            </w:r>
          </w:p>
        </w:tc>
        <w:tc>
          <w:tcPr>
            <w:tcW w:w="1843" w:type="dxa"/>
            <w:vAlign w:val="center"/>
          </w:tcPr>
          <w:p w14:paraId="438B033F" w14:textId="0290F246" w:rsidR="0088784B" w:rsidRPr="002E6808" w:rsidRDefault="002E6808" w:rsidP="0088784B">
            <w:pPr>
              <w:spacing w:before="120" w:after="120"/>
              <w:jc w:val="both"/>
              <w:rPr>
                <w:rFonts w:ascii="Times New Roman" w:hAnsi="Times New Roman" w:cs="Times New Roman"/>
                <w:bCs/>
                <w:sz w:val="20"/>
                <w:szCs w:val="20"/>
                <w:lang w:val="en-US"/>
              </w:rPr>
            </w:pPr>
            <w:r w:rsidRPr="002E6808">
              <w:rPr>
                <w:rFonts w:ascii="Times New Roman" w:hAnsi="Times New Roman" w:cs="Times New Roman"/>
                <w:bCs/>
                <w:sz w:val="20"/>
                <w:szCs w:val="20"/>
                <w:lang w:val="en-US"/>
              </w:rPr>
              <w:t>Art. 12</w:t>
            </w:r>
          </w:p>
        </w:tc>
        <w:tc>
          <w:tcPr>
            <w:tcW w:w="5670" w:type="dxa"/>
            <w:vAlign w:val="center"/>
          </w:tcPr>
          <w:p w14:paraId="470858BC" w14:textId="6A3CC221" w:rsidR="0088784B" w:rsidRPr="002E6808" w:rsidRDefault="002E6808" w:rsidP="0088784B">
            <w:pPr>
              <w:spacing w:line="240" w:lineRule="exact"/>
              <w:jc w:val="both"/>
              <w:rPr>
                <w:rFonts w:ascii="Times New Roman" w:hAnsi="Times New Roman" w:cs="Times New Roman"/>
                <w:sz w:val="20"/>
                <w:szCs w:val="20"/>
              </w:rPr>
            </w:pPr>
            <w:r>
              <w:rPr>
                <w:rFonts w:ascii="Times New Roman" w:hAnsi="Times New Roman" w:cs="Times New Roman"/>
                <w:sz w:val="20"/>
                <w:szCs w:val="20"/>
              </w:rPr>
              <w:t>W</w:t>
            </w:r>
            <w:r w:rsidRPr="002E6808">
              <w:rPr>
                <w:rFonts w:ascii="Times New Roman" w:hAnsi="Times New Roman" w:cs="Times New Roman"/>
                <w:sz w:val="20"/>
                <w:szCs w:val="20"/>
              </w:rPr>
              <w:t xml:space="preserve"> systemie SOW brak jest funkcjonalności umożliwiającej przefiltrowanie spraw o rozwiązanie podmiotu wpisanego do Krajowego Rejestru Sądowego bez przeprowadzenia postępowania likwidacyjnego, w taki sposób, aby wyszukać jedynie sprawy umorzone wyłącznie z tego powodu, że podmiot posiadał zbywalny majątek. Przyczyna umorzenia uwidoczniona jest w uzasadnieniu orzeczenia, przy czym podstawą umorzenia postępowania z art. 25a ustawy o KRS może być również przykładowo sprzeciw wierzyciela </w:t>
            </w:r>
            <w:r w:rsidRPr="002E6808">
              <w:rPr>
                <w:rFonts w:ascii="Times New Roman" w:hAnsi="Times New Roman" w:cs="Times New Roman"/>
                <w:sz w:val="20"/>
                <w:szCs w:val="20"/>
              </w:rPr>
              <w:lastRenderedPageBreak/>
              <w:t>lub stwierdzenie prowadzenia działalności przez spółkę lub inny podmiot.</w:t>
            </w:r>
          </w:p>
        </w:tc>
        <w:tc>
          <w:tcPr>
            <w:tcW w:w="4076" w:type="dxa"/>
          </w:tcPr>
          <w:p w14:paraId="649914A4" w14:textId="54938039" w:rsidR="0088784B" w:rsidRDefault="002E6808" w:rsidP="0088784B">
            <w:pPr>
              <w:spacing w:before="120"/>
              <w:jc w:val="both"/>
              <w:rPr>
                <w:rFonts w:ascii="Times New Roman" w:hAnsi="Times New Roman" w:cs="Times New Roman"/>
                <w:b/>
                <w:sz w:val="20"/>
                <w:szCs w:val="20"/>
              </w:rPr>
            </w:pPr>
            <w:r>
              <w:rPr>
                <w:rFonts w:ascii="Times New Roman" w:hAnsi="Times New Roman" w:cs="Times New Roman"/>
                <w:b/>
                <w:sz w:val="20"/>
                <w:szCs w:val="20"/>
              </w:rPr>
              <w:lastRenderedPageBreak/>
              <w:t>Uwaga uwzględniona</w:t>
            </w:r>
          </w:p>
          <w:p w14:paraId="2640FDC3" w14:textId="232ACA25" w:rsidR="002E6808" w:rsidRPr="002E6808" w:rsidRDefault="002E6808" w:rsidP="0088784B">
            <w:pPr>
              <w:spacing w:before="120"/>
              <w:jc w:val="both"/>
              <w:rPr>
                <w:rFonts w:ascii="Times New Roman" w:hAnsi="Times New Roman" w:cs="Times New Roman"/>
                <w:bCs/>
                <w:sz w:val="20"/>
                <w:szCs w:val="20"/>
              </w:rPr>
            </w:pPr>
            <w:r>
              <w:rPr>
                <w:rFonts w:ascii="Times New Roman" w:hAnsi="Times New Roman" w:cs="Times New Roman"/>
                <w:bCs/>
                <w:sz w:val="20"/>
                <w:szCs w:val="20"/>
              </w:rPr>
              <w:t>Zrezygnowano z przepisu.</w:t>
            </w:r>
          </w:p>
        </w:tc>
      </w:tr>
      <w:tr w:rsidR="0088784B" w:rsidRPr="005134B0" w14:paraId="0EDCCAC7" w14:textId="77777777" w:rsidTr="00B241C8">
        <w:trPr>
          <w:jc w:val="center"/>
        </w:trPr>
        <w:tc>
          <w:tcPr>
            <w:tcW w:w="562" w:type="dxa"/>
          </w:tcPr>
          <w:p w14:paraId="18E2708B" w14:textId="6BDF1DCE" w:rsidR="0088784B" w:rsidRPr="005134B0" w:rsidRDefault="000D0B01" w:rsidP="0088784B">
            <w:pPr>
              <w:spacing w:before="120"/>
              <w:ind w:right="-534"/>
              <w:jc w:val="both"/>
              <w:rPr>
                <w:rFonts w:ascii="Times New Roman" w:hAnsi="Times New Roman" w:cs="Times New Roman"/>
                <w:bCs/>
                <w:sz w:val="20"/>
                <w:szCs w:val="20"/>
              </w:rPr>
            </w:pPr>
            <w:r>
              <w:rPr>
                <w:rFonts w:ascii="Times New Roman" w:hAnsi="Times New Roman" w:cs="Times New Roman"/>
                <w:bCs/>
                <w:sz w:val="20"/>
                <w:szCs w:val="20"/>
              </w:rPr>
              <w:t>46</w:t>
            </w:r>
            <w:r w:rsidR="0088784B">
              <w:rPr>
                <w:rFonts w:ascii="Times New Roman" w:hAnsi="Times New Roman" w:cs="Times New Roman"/>
                <w:bCs/>
                <w:sz w:val="20"/>
                <w:szCs w:val="20"/>
              </w:rPr>
              <w:t>.</w:t>
            </w:r>
          </w:p>
        </w:tc>
        <w:tc>
          <w:tcPr>
            <w:tcW w:w="1843" w:type="dxa"/>
            <w:vAlign w:val="center"/>
          </w:tcPr>
          <w:p w14:paraId="42043F3D" w14:textId="3D456E2B" w:rsidR="0088784B" w:rsidRPr="000D0B01" w:rsidRDefault="000D0B01" w:rsidP="0088784B">
            <w:pPr>
              <w:spacing w:before="120" w:after="120"/>
              <w:jc w:val="both"/>
              <w:rPr>
                <w:rStyle w:val="FontStyle16"/>
                <w:sz w:val="20"/>
                <w:szCs w:val="20"/>
              </w:rPr>
            </w:pPr>
            <w:r w:rsidRPr="000D0B01">
              <w:rPr>
                <w:rStyle w:val="FontStyle16"/>
                <w:sz w:val="20"/>
                <w:szCs w:val="20"/>
              </w:rPr>
              <w:t>SA w Poznaniu</w:t>
            </w:r>
          </w:p>
        </w:tc>
        <w:tc>
          <w:tcPr>
            <w:tcW w:w="1843" w:type="dxa"/>
            <w:vAlign w:val="center"/>
          </w:tcPr>
          <w:p w14:paraId="37FAF096" w14:textId="13285251" w:rsidR="0088784B" w:rsidRPr="000D0B01" w:rsidRDefault="000D0B01" w:rsidP="0088784B">
            <w:pPr>
              <w:spacing w:before="120" w:after="120"/>
              <w:jc w:val="both"/>
              <w:rPr>
                <w:rFonts w:ascii="Times New Roman" w:hAnsi="Times New Roman" w:cs="Times New Roman"/>
                <w:bCs/>
                <w:sz w:val="20"/>
                <w:szCs w:val="20"/>
              </w:rPr>
            </w:pPr>
            <w:r w:rsidRPr="000D0B01">
              <w:rPr>
                <w:rFonts w:ascii="Times New Roman" w:hAnsi="Times New Roman" w:cs="Times New Roman"/>
                <w:bCs/>
                <w:sz w:val="20"/>
                <w:szCs w:val="20"/>
              </w:rPr>
              <w:t>Art. 12</w:t>
            </w:r>
          </w:p>
        </w:tc>
        <w:tc>
          <w:tcPr>
            <w:tcW w:w="5670" w:type="dxa"/>
            <w:vAlign w:val="center"/>
          </w:tcPr>
          <w:p w14:paraId="30EC73C6" w14:textId="2CFF2DF9" w:rsidR="0088784B" w:rsidRPr="000D0B01" w:rsidRDefault="000D0B01" w:rsidP="0088784B">
            <w:pPr>
              <w:jc w:val="both"/>
              <w:rPr>
                <w:rStyle w:val="FontStyle16"/>
                <w:sz w:val="20"/>
                <w:szCs w:val="20"/>
              </w:rPr>
            </w:pPr>
            <w:r>
              <w:rPr>
                <w:rStyle w:val="FontStyle16"/>
                <w:sz w:val="20"/>
                <w:szCs w:val="20"/>
              </w:rPr>
              <w:t>U</w:t>
            </w:r>
            <w:r w:rsidRPr="000D0B01">
              <w:rPr>
                <w:rStyle w:val="FontStyle16"/>
                <w:sz w:val="20"/>
                <w:szCs w:val="20"/>
              </w:rPr>
              <w:t>sunięcie w całości art. 12 projektu (konieczność ponownego wezwania podmiotu do złożenia wniosku lub dokumentów w każdym przypadku, w którym w przeszłości umorzone zostało postępowanie o rozwiązanie podmiotu bez przeprowadzenia likwidacji z uwagi na posiadanie przez podmiot zbywalnego majątku - w okresie ponad 11 letnim obowiązywania przepisu art. 25a ustawy o KRS tj. od dnia 01.01.2015 r. do 01.04.2027 r. - spowoduje znaczne obciążenie pionu orzeczniczego, zwłaszcza że dotyczyć będzie wielu spraw prowadzonych jeszcze wyłącznie w formie papierowej (przed 01.07.2021 r.) o ponadto sytuacja majątkowa podmiotu rejestrowego na przestrzeni lat może ulec znacznej zmianie i informacja o posiadanym zbywalnym majątku przez podmiot będzie już nieaktualna.”</w:t>
            </w:r>
          </w:p>
        </w:tc>
        <w:tc>
          <w:tcPr>
            <w:tcW w:w="4076" w:type="dxa"/>
          </w:tcPr>
          <w:p w14:paraId="328E87E7" w14:textId="77777777" w:rsidR="000D0B01" w:rsidRPr="000D0B01" w:rsidRDefault="000D0B01" w:rsidP="000D0B01">
            <w:pPr>
              <w:spacing w:before="120"/>
              <w:jc w:val="both"/>
              <w:rPr>
                <w:rFonts w:ascii="Times New Roman" w:hAnsi="Times New Roman" w:cs="Times New Roman"/>
                <w:b/>
                <w:sz w:val="20"/>
                <w:szCs w:val="20"/>
              </w:rPr>
            </w:pPr>
            <w:r w:rsidRPr="000D0B01">
              <w:rPr>
                <w:rFonts w:ascii="Times New Roman" w:hAnsi="Times New Roman" w:cs="Times New Roman"/>
                <w:b/>
                <w:sz w:val="20"/>
                <w:szCs w:val="20"/>
              </w:rPr>
              <w:t>Uwaga uwzględniona</w:t>
            </w:r>
          </w:p>
          <w:p w14:paraId="7A223F21" w14:textId="21008648" w:rsidR="0088784B" w:rsidRPr="000D0B01" w:rsidRDefault="000D0B01" w:rsidP="000D0B01">
            <w:pPr>
              <w:spacing w:before="120"/>
              <w:jc w:val="both"/>
              <w:rPr>
                <w:rFonts w:ascii="Times New Roman" w:hAnsi="Times New Roman" w:cs="Times New Roman"/>
                <w:bCs/>
                <w:sz w:val="20"/>
                <w:szCs w:val="20"/>
              </w:rPr>
            </w:pPr>
            <w:r w:rsidRPr="000D0B01">
              <w:rPr>
                <w:rFonts w:ascii="Times New Roman" w:hAnsi="Times New Roman" w:cs="Times New Roman"/>
                <w:bCs/>
                <w:sz w:val="20"/>
                <w:szCs w:val="20"/>
              </w:rPr>
              <w:t>Zrezygnowano z przepisu.</w:t>
            </w:r>
          </w:p>
        </w:tc>
      </w:tr>
      <w:tr w:rsidR="0088784B" w:rsidRPr="005134B0" w14:paraId="1CA5AB4D" w14:textId="77777777" w:rsidTr="00B919AF">
        <w:trPr>
          <w:jc w:val="center"/>
        </w:trPr>
        <w:tc>
          <w:tcPr>
            <w:tcW w:w="13994" w:type="dxa"/>
            <w:gridSpan w:val="5"/>
            <w:shd w:val="clear" w:color="auto" w:fill="A6A6A6" w:themeFill="background1" w:themeFillShade="A6"/>
          </w:tcPr>
          <w:p w14:paraId="24A9AEDA" w14:textId="5134C805" w:rsidR="0088784B" w:rsidRPr="005134B0" w:rsidRDefault="0088784B" w:rsidP="0088784B">
            <w:pPr>
              <w:spacing w:before="120" w:after="120"/>
              <w:jc w:val="center"/>
              <w:rPr>
                <w:rFonts w:ascii="Times New Roman" w:hAnsi="Times New Roman" w:cs="Times New Roman"/>
                <w:b/>
                <w:sz w:val="20"/>
                <w:szCs w:val="20"/>
              </w:rPr>
            </w:pPr>
            <w:r w:rsidRPr="005134B0">
              <w:rPr>
                <w:rFonts w:ascii="Times New Roman" w:hAnsi="Times New Roman" w:cs="Times New Roman"/>
                <w:b/>
                <w:sz w:val="20"/>
                <w:szCs w:val="20"/>
              </w:rPr>
              <w:t>Uwagi do uzasadnienia projektu</w:t>
            </w:r>
          </w:p>
        </w:tc>
      </w:tr>
      <w:tr w:rsidR="0088784B" w:rsidRPr="005134B0" w14:paraId="2156F658" w14:textId="77777777" w:rsidTr="00B241C8">
        <w:trPr>
          <w:jc w:val="center"/>
        </w:trPr>
        <w:tc>
          <w:tcPr>
            <w:tcW w:w="562" w:type="dxa"/>
          </w:tcPr>
          <w:p w14:paraId="79AAA3D9" w14:textId="60AE75A8" w:rsidR="0088784B" w:rsidRPr="005134B0" w:rsidRDefault="0088784B" w:rsidP="0088784B">
            <w:pPr>
              <w:spacing w:before="120"/>
              <w:ind w:right="-534"/>
              <w:jc w:val="both"/>
              <w:rPr>
                <w:rFonts w:ascii="Times New Roman" w:hAnsi="Times New Roman" w:cs="Times New Roman"/>
                <w:bCs/>
                <w:sz w:val="20"/>
                <w:szCs w:val="20"/>
              </w:rPr>
            </w:pPr>
          </w:p>
        </w:tc>
        <w:tc>
          <w:tcPr>
            <w:tcW w:w="1843" w:type="dxa"/>
            <w:vAlign w:val="center"/>
          </w:tcPr>
          <w:p w14:paraId="225CC122" w14:textId="36C2B5B6" w:rsidR="0088784B" w:rsidRPr="005134B0" w:rsidRDefault="0088784B" w:rsidP="0088784B">
            <w:pPr>
              <w:spacing w:before="120" w:after="120"/>
              <w:jc w:val="both"/>
              <w:rPr>
                <w:rFonts w:ascii="Times New Roman" w:hAnsi="Times New Roman" w:cs="Times New Roman"/>
                <w:bCs/>
                <w:sz w:val="20"/>
                <w:szCs w:val="20"/>
              </w:rPr>
            </w:pPr>
          </w:p>
        </w:tc>
        <w:tc>
          <w:tcPr>
            <w:tcW w:w="1843" w:type="dxa"/>
            <w:vAlign w:val="center"/>
          </w:tcPr>
          <w:p w14:paraId="5B69EE39" w14:textId="7CDC5BFC" w:rsidR="0088784B" w:rsidRPr="005134B0" w:rsidRDefault="0088784B" w:rsidP="0088784B">
            <w:pPr>
              <w:spacing w:before="120" w:after="120"/>
              <w:jc w:val="both"/>
              <w:rPr>
                <w:rFonts w:ascii="Times New Roman" w:hAnsi="Times New Roman" w:cs="Times New Roman"/>
                <w:bCs/>
                <w:sz w:val="20"/>
                <w:szCs w:val="20"/>
              </w:rPr>
            </w:pPr>
          </w:p>
        </w:tc>
        <w:tc>
          <w:tcPr>
            <w:tcW w:w="5670" w:type="dxa"/>
            <w:vAlign w:val="center"/>
          </w:tcPr>
          <w:p w14:paraId="09E4D561" w14:textId="46D00E55" w:rsidR="0088784B" w:rsidRPr="007A4598" w:rsidRDefault="0088784B" w:rsidP="0088784B">
            <w:pPr>
              <w:spacing w:line="240" w:lineRule="exact"/>
              <w:jc w:val="both"/>
              <w:rPr>
                <w:rFonts w:ascii="Times New Roman" w:hAnsi="Times New Roman" w:cs="Times New Roman"/>
                <w:sz w:val="20"/>
                <w:szCs w:val="20"/>
              </w:rPr>
            </w:pPr>
          </w:p>
        </w:tc>
        <w:tc>
          <w:tcPr>
            <w:tcW w:w="4076" w:type="dxa"/>
          </w:tcPr>
          <w:p w14:paraId="2ADAA775" w14:textId="5764885C" w:rsidR="0088784B" w:rsidRPr="005134B0" w:rsidRDefault="0088784B" w:rsidP="0088784B">
            <w:pPr>
              <w:spacing w:before="120" w:after="120"/>
              <w:jc w:val="both"/>
              <w:rPr>
                <w:rFonts w:ascii="Times New Roman" w:eastAsia="Times New Roman" w:hAnsi="Times New Roman" w:cs="Times New Roman"/>
                <w:b/>
                <w:sz w:val="20"/>
                <w:szCs w:val="20"/>
                <w:lang w:eastAsia="pl-PL"/>
              </w:rPr>
            </w:pPr>
          </w:p>
        </w:tc>
      </w:tr>
      <w:tr w:rsidR="0088784B" w:rsidRPr="005134B0" w14:paraId="62827CBE" w14:textId="77777777" w:rsidTr="00B919AF">
        <w:trPr>
          <w:jc w:val="center"/>
        </w:trPr>
        <w:tc>
          <w:tcPr>
            <w:tcW w:w="13994" w:type="dxa"/>
            <w:gridSpan w:val="5"/>
            <w:shd w:val="clear" w:color="auto" w:fill="A6A6A6" w:themeFill="background1" w:themeFillShade="A6"/>
          </w:tcPr>
          <w:p w14:paraId="6DD01354" w14:textId="00E3688E" w:rsidR="0088784B" w:rsidRPr="005134B0" w:rsidRDefault="0088784B" w:rsidP="0088784B">
            <w:pPr>
              <w:spacing w:before="120" w:after="120"/>
              <w:jc w:val="center"/>
              <w:rPr>
                <w:rFonts w:ascii="Times New Roman" w:eastAsia="Times New Roman" w:hAnsi="Times New Roman" w:cs="Times New Roman"/>
                <w:b/>
                <w:sz w:val="20"/>
                <w:szCs w:val="20"/>
                <w:lang w:eastAsia="pl-PL"/>
              </w:rPr>
            </w:pPr>
            <w:r w:rsidRPr="005134B0">
              <w:rPr>
                <w:rFonts w:ascii="Times New Roman" w:hAnsi="Times New Roman" w:cs="Times New Roman"/>
                <w:b/>
                <w:sz w:val="20"/>
                <w:szCs w:val="20"/>
              </w:rPr>
              <w:t>Uwagi do Oceny Skutków Regulacji</w:t>
            </w:r>
          </w:p>
        </w:tc>
      </w:tr>
      <w:tr w:rsidR="0088784B" w:rsidRPr="005134B0" w14:paraId="09DD70E7" w14:textId="77777777" w:rsidTr="00B241C8">
        <w:tblPrEx>
          <w:jc w:val="left"/>
        </w:tblPrEx>
        <w:tc>
          <w:tcPr>
            <w:tcW w:w="562" w:type="dxa"/>
          </w:tcPr>
          <w:p w14:paraId="3A2DD89B" w14:textId="1FE4A4F2" w:rsidR="0088784B" w:rsidRPr="005134B0" w:rsidRDefault="0088784B" w:rsidP="0088784B">
            <w:pPr>
              <w:spacing w:before="120"/>
              <w:ind w:right="-534"/>
              <w:jc w:val="both"/>
              <w:rPr>
                <w:rFonts w:ascii="Times New Roman" w:hAnsi="Times New Roman" w:cs="Times New Roman"/>
                <w:bCs/>
                <w:sz w:val="20"/>
                <w:szCs w:val="20"/>
              </w:rPr>
            </w:pPr>
          </w:p>
        </w:tc>
        <w:tc>
          <w:tcPr>
            <w:tcW w:w="1843" w:type="dxa"/>
          </w:tcPr>
          <w:p w14:paraId="0BDB8FBF" w14:textId="62B3E8DB" w:rsidR="0088784B" w:rsidRPr="005134B0" w:rsidRDefault="0088784B" w:rsidP="0088784B">
            <w:pPr>
              <w:spacing w:before="120" w:after="120"/>
              <w:jc w:val="both"/>
              <w:rPr>
                <w:rFonts w:ascii="Times New Roman" w:hAnsi="Times New Roman" w:cs="Times New Roman"/>
                <w:bCs/>
                <w:sz w:val="20"/>
                <w:szCs w:val="20"/>
              </w:rPr>
            </w:pPr>
          </w:p>
        </w:tc>
        <w:tc>
          <w:tcPr>
            <w:tcW w:w="1843" w:type="dxa"/>
          </w:tcPr>
          <w:p w14:paraId="01265946" w14:textId="57188505" w:rsidR="0088784B" w:rsidRPr="005134B0" w:rsidRDefault="0088784B" w:rsidP="0088784B">
            <w:pPr>
              <w:spacing w:before="120" w:after="120"/>
              <w:jc w:val="both"/>
              <w:rPr>
                <w:rFonts w:ascii="Times New Roman" w:hAnsi="Times New Roman" w:cs="Times New Roman"/>
                <w:bCs/>
                <w:sz w:val="20"/>
                <w:szCs w:val="20"/>
              </w:rPr>
            </w:pPr>
          </w:p>
        </w:tc>
        <w:tc>
          <w:tcPr>
            <w:tcW w:w="5670" w:type="dxa"/>
          </w:tcPr>
          <w:p w14:paraId="373B7F76" w14:textId="71229770" w:rsidR="0088784B" w:rsidRPr="005134B0" w:rsidRDefault="0088784B" w:rsidP="0088784B">
            <w:pPr>
              <w:jc w:val="both"/>
              <w:rPr>
                <w:rFonts w:ascii="Times New Roman" w:eastAsia="Times New Roman" w:hAnsi="Times New Roman" w:cs="Times New Roman"/>
                <w:bCs/>
                <w:sz w:val="20"/>
                <w:szCs w:val="20"/>
                <w:lang w:eastAsia="pl-PL"/>
              </w:rPr>
            </w:pPr>
          </w:p>
        </w:tc>
        <w:tc>
          <w:tcPr>
            <w:tcW w:w="4076" w:type="dxa"/>
          </w:tcPr>
          <w:p w14:paraId="0095B215" w14:textId="78084A98" w:rsidR="0088784B" w:rsidRPr="00D82F4B" w:rsidRDefault="0088784B" w:rsidP="0088784B">
            <w:pPr>
              <w:spacing w:before="120" w:after="120"/>
              <w:jc w:val="both"/>
              <w:rPr>
                <w:rFonts w:ascii="Times New Roman" w:eastAsia="Times New Roman" w:hAnsi="Times New Roman" w:cs="Times New Roman"/>
                <w:b/>
                <w:sz w:val="20"/>
                <w:szCs w:val="20"/>
                <w:lang w:eastAsia="pl-PL"/>
              </w:rPr>
            </w:pPr>
          </w:p>
        </w:tc>
      </w:tr>
    </w:tbl>
    <w:p w14:paraId="3263BA22" w14:textId="77777777" w:rsidR="009A3389" w:rsidRPr="005134B0" w:rsidRDefault="009A3389" w:rsidP="00F43ABB">
      <w:pPr>
        <w:spacing w:line="240" w:lineRule="auto"/>
        <w:jc w:val="both"/>
        <w:rPr>
          <w:rFonts w:ascii="Times New Roman" w:hAnsi="Times New Roman" w:cs="Times New Roman"/>
          <w:bCs/>
          <w:sz w:val="20"/>
          <w:szCs w:val="20"/>
        </w:rPr>
      </w:pPr>
    </w:p>
    <w:sectPr w:rsidR="009A3389" w:rsidRPr="005134B0" w:rsidSect="001F3A0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CE47" w14:textId="77777777" w:rsidR="00A57E69" w:rsidRDefault="00A57E69" w:rsidP="00735AA5">
      <w:pPr>
        <w:spacing w:after="0" w:line="240" w:lineRule="auto"/>
      </w:pPr>
      <w:r>
        <w:separator/>
      </w:r>
    </w:p>
  </w:endnote>
  <w:endnote w:type="continuationSeparator" w:id="0">
    <w:p w14:paraId="39450DC0" w14:textId="77777777" w:rsidR="00A57E69" w:rsidRDefault="00A57E69" w:rsidP="0073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451909213"/>
      <w:docPartObj>
        <w:docPartGallery w:val="Page Numbers (Bottom of Page)"/>
        <w:docPartUnique/>
      </w:docPartObj>
    </w:sdtPr>
    <w:sdtEndPr/>
    <w:sdtContent>
      <w:p w14:paraId="3D1313F4" w14:textId="77777777" w:rsidR="000B346A" w:rsidRPr="000B346A" w:rsidRDefault="00E738A5">
        <w:pPr>
          <w:pStyle w:val="Stopka"/>
          <w:jc w:val="right"/>
          <w:rPr>
            <w:rFonts w:ascii="Arial" w:hAnsi="Arial" w:cs="Arial"/>
            <w:sz w:val="18"/>
          </w:rPr>
        </w:pPr>
        <w:r>
          <w:rPr>
            <w:rFonts w:ascii="Arial" w:hAnsi="Arial" w:cs="Arial"/>
            <w:sz w:val="18"/>
          </w:rPr>
          <w:t>S</w:t>
        </w:r>
        <w:r w:rsidR="000B346A" w:rsidRPr="000B346A">
          <w:rPr>
            <w:rFonts w:ascii="Arial" w:hAnsi="Arial" w:cs="Arial"/>
            <w:sz w:val="18"/>
          </w:rPr>
          <w:t xml:space="preserve">trona | </w:t>
        </w:r>
        <w:r w:rsidR="000B346A" w:rsidRPr="000B346A">
          <w:rPr>
            <w:rFonts w:ascii="Arial" w:hAnsi="Arial" w:cs="Arial"/>
            <w:sz w:val="18"/>
          </w:rPr>
          <w:fldChar w:fldCharType="begin"/>
        </w:r>
        <w:r w:rsidR="000B346A" w:rsidRPr="000B346A">
          <w:rPr>
            <w:rFonts w:ascii="Arial" w:hAnsi="Arial" w:cs="Arial"/>
            <w:sz w:val="18"/>
          </w:rPr>
          <w:instrText>PAGE   \* MERGEFORMAT</w:instrText>
        </w:r>
        <w:r w:rsidR="000B346A" w:rsidRPr="000B346A">
          <w:rPr>
            <w:rFonts w:ascii="Arial" w:hAnsi="Arial" w:cs="Arial"/>
            <w:sz w:val="18"/>
          </w:rPr>
          <w:fldChar w:fldCharType="separate"/>
        </w:r>
        <w:r w:rsidR="00E23A7D">
          <w:rPr>
            <w:rFonts w:ascii="Arial" w:hAnsi="Arial" w:cs="Arial"/>
            <w:noProof/>
            <w:sz w:val="18"/>
          </w:rPr>
          <w:t>1</w:t>
        </w:r>
        <w:r w:rsidR="000B346A" w:rsidRPr="000B346A">
          <w:rPr>
            <w:rFonts w:ascii="Arial" w:hAnsi="Arial" w:cs="Arial"/>
            <w:sz w:val="18"/>
          </w:rPr>
          <w:fldChar w:fldCharType="end"/>
        </w:r>
        <w:r w:rsidR="000B346A" w:rsidRPr="000B346A">
          <w:rPr>
            <w:rFonts w:ascii="Arial" w:hAnsi="Arial" w:cs="Arial"/>
            <w:sz w:val="18"/>
          </w:rPr>
          <w:t xml:space="preserve"> </w:t>
        </w:r>
      </w:p>
    </w:sdtContent>
  </w:sdt>
  <w:p w14:paraId="1FF13A2E" w14:textId="77777777" w:rsidR="00735AA5" w:rsidRDefault="00735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20CC" w14:textId="77777777" w:rsidR="00A57E69" w:rsidRDefault="00A57E69" w:rsidP="00735AA5">
      <w:pPr>
        <w:spacing w:after="0" w:line="240" w:lineRule="auto"/>
      </w:pPr>
      <w:r>
        <w:separator/>
      </w:r>
    </w:p>
  </w:footnote>
  <w:footnote w:type="continuationSeparator" w:id="0">
    <w:p w14:paraId="4359BB77" w14:textId="77777777" w:rsidR="00A57E69" w:rsidRDefault="00A57E69" w:rsidP="00735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Look w:val="04A0" w:firstRow="1" w:lastRow="0" w:firstColumn="1" w:lastColumn="0" w:noHBand="0" w:noVBand="1"/>
    </w:tblPr>
    <w:tblGrid>
      <w:gridCol w:w="554"/>
      <w:gridCol w:w="1911"/>
      <w:gridCol w:w="1855"/>
      <w:gridCol w:w="5565"/>
      <w:gridCol w:w="4109"/>
    </w:tblGrid>
    <w:tr w:rsidR="00136551" w:rsidRPr="00FF4480" w14:paraId="25235B4B" w14:textId="77777777" w:rsidTr="00CF31A7">
      <w:trPr>
        <w:trHeight w:val="592"/>
        <w:jc w:val="center"/>
      </w:trPr>
      <w:tc>
        <w:tcPr>
          <w:tcW w:w="554" w:type="dxa"/>
          <w:vAlign w:val="center"/>
        </w:tcPr>
        <w:p w14:paraId="3079F5C1" w14:textId="77777777" w:rsidR="00136551" w:rsidRPr="00FF4480" w:rsidRDefault="00136551" w:rsidP="00136551">
          <w:pPr>
            <w:jc w:val="center"/>
            <w:rPr>
              <w:rFonts w:ascii="Times New Roman" w:hAnsi="Times New Roman" w:cs="Times New Roman"/>
              <w:sz w:val="20"/>
            </w:rPr>
          </w:pPr>
          <w:r w:rsidRPr="00FF4480">
            <w:rPr>
              <w:rFonts w:ascii="Times New Roman" w:hAnsi="Times New Roman" w:cs="Times New Roman"/>
              <w:b/>
              <w:sz w:val="20"/>
            </w:rPr>
            <w:t>Lp</w:t>
          </w:r>
          <w:r w:rsidRPr="00FF4480">
            <w:rPr>
              <w:rFonts w:ascii="Times New Roman" w:hAnsi="Times New Roman" w:cs="Times New Roman"/>
              <w:sz w:val="20"/>
            </w:rPr>
            <w:t>.</w:t>
          </w:r>
        </w:p>
      </w:tc>
      <w:tc>
        <w:tcPr>
          <w:tcW w:w="1931" w:type="dxa"/>
          <w:vAlign w:val="center"/>
        </w:tcPr>
        <w:p w14:paraId="51D5B69E" w14:textId="77777777" w:rsidR="00136551" w:rsidRPr="00FF4480" w:rsidRDefault="00136551" w:rsidP="00136551">
          <w:pPr>
            <w:spacing w:after="60"/>
            <w:jc w:val="center"/>
            <w:rPr>
              <w:rFonts w:ascii="Times New Roman" w:hAnsi="Times New Roman" w:cs="Times New Roman"/>
              <w:b/>
              <w:bCs/>
              <w:sz w:val="20"/>
            </w:rPr>
          </w:pPr>
          <w:r w:rsidRPr="00FF4480">
            <w:rPr>
              <w:rFonts w:ascii="Times New Roman" w:hAnsi="Times New Roman" w:cs="Times New Roman"/>
              <w:b/>
              <w:bCs/>
              <w:sz w:val="20"/>
            </w:rPr>
            <w:t>Podmiot zgłaszający</w:t>
          </w:r>
          <w:r>
            <w:rPr>
              <w:rFonts w:ascii="Times New Roman" w:hAnsi="Times New Roman" w:cs="Times New Roman"/>
              <w:b/>
              <w:bCs/>
              <w:sz w:val="20"/>
            </w:rPr>
            <w:t xml:space="preserve"> uwagę</w:t>
          </w:r>
        </w:p>
      </w:tc>
      <w:tc>
        <w:tcPr>
          <w:tcW w:w="1876" w:type="dxa"/>
          <w:vAlign w:val="center"/>
        </w:tcPr>
        <w:p w14:paraId="07DD2410" w14:textId="77777777" w:rsidR="00314CFD" w:rsidRDefault="00136551" w:rsidP="00136551">
          <w:pPr>
            <w:jc w:val="center"/>
            <w:rPr>
              <w:rFonts w:ascii="Times New Roman" w:hAnsi="Times New Roman" w:cs="Times New Roman"/>
              <w:b/>
              <w:bCs/>
              <w:sz w:val="16"/>
              <w:szCs w:val="16"/>
            </w:rPr>
          </w:pPr>
          <w:r w:rsidRPr="00E738A5">
            <w:rPr>
              <w:rFonts w:ascii="Times New Roman" w:hAnsi="Times New Roman" w:cs="Times New Roman"/>
              <w:b/>
              <w:bCs/>
              <w:sz w:val="16"/>
              <w:szCs w:val="16"/>
            </w:rPr>
            <w:t>Jednostka redakcyjna</w:t>
          </w:r>
        </w:p>
        <w:p w14:paraId="22C0C0E7" w14:textId="77777777" w:rsidR="00314CFD" w:rsidRDefault="00314CFD" w:rsidP="00136551">
          <w:pPr>
            <w:jc w:val="center"/>
            <w:rPr>
              <w:rFonts w:ascii="Times New Roman" w:hAnsi="Times New Roman" w:cs="Times New Roman"/>
              <w:b/>
              <w:bCs/>
              <w:sz w:val="16"/>
              <w:szCs w:val="16"/>
            </w:rPr>
          </w:pPr>
          <w:r>
            <w:rPr>
              <w:rFonts w:ascii="Times New Roman" w:hAnsi="Times New Roman" w:cs="Times New Roman"/>
              <w:b/>
              <w:bCs/>
              <w:sz w:val="16"/>
              <w:szCs w:val="16"/>
            </w:rPr>
            <w:t>lub</w:t>
          </w:r>
          <w:r w:rsidR="00136551" w:rsidRPr="00E738A5">
            <w:rPr>
              <w:rFonts w:ascii="Times New Roman" w:hAnsi="Times New Roman" w:cs="Times New Roman"/>
              <w:b/>
              <w:bCs/>
              <w:sz w:val="16"/>
              <w:szCs w:val="16"/>
            </w:rPr>
            <w:t xml:space="preserve"> </w:t>
          </w:r>
          <w:r w:rsidR="00136551" w:rsidRPr="00E738A5">
            <w:rPr>
              <w:rFonts w:ascii="Times New Roman" w:hAnsi="Times New Roman" w:cs="Times New Roman"/>
              <w:b/>
              <w:bCs/>
              <w:sz w:val="16"/>
              <w:szCs w:val="16"/>
            </w:rPr>
            <w:br/>
          </w:r>
          <w:r>
            <w:rPr>
              <w:rFonts w:ascii="Times New Roman" w:hAnsi="Times New Roman" w:cs="Times New Roman"/>
              <w:b/>
              <w:bCs/>
              <w:sz w:val="16"/>
              <w:szCs w:val="16"/>
            </w:rPr>
            <w:t>s</w:t>
          </w:r>
          <w:r w:rsidR="00136551" w:rsidRPr="00E738A5">
            <w:rPr>
              <w:rFonts w:ascii="Times New Roman" w:hAnsi="Times New Roman" w:cs="Times New Roman"/>
              <w:b/>
              <w:bCs/>
              <w:sz w:val="16"/>
              <w:szCs w:val="16"/>
            </w:rPr>
            <w:t>tr</w:t>
          </w:r>
          <w:r w:rsidR="00963B6A">
            <w:rPr>
              <w:rFonts w:ascii="Times New Roman" w:hAnsi="Times New Roman" w:cs="Times New Roman"/>
              <w:b/>
              <w:bCs/>
              <w:sz w:val="16"/>
              <w:szCs w:val="16"/>
            </w:rPr>
            <w:t>ona</w:t>
          </w:r>
          <w:r w:rsidR="00136551" w:rsidRPr="00E738A5">
            <w:rPr>
              <w:rFonts w:ascii="Times New Roman" w:hAnsi="Times New Roman" w:cs="Times New Roman"/>
              <w:b/>
              <w:bCs/>
              <w:sz w:val="16"/>
              <w:szCs w:val="16"/>
            </w:rPr>
            <w:t xml:space="preserve"> uzasadnienia</w:t>
          </w:r>
        </w:p>
        <w:p w14:paraId="0ECBAC82" w14:textId="26BFB136" w:rsidR="00136551" w:rsidRPr="00E738A5" w:rsidRDefault="00314CFD" w:rsidP="00136551">
          <w:pPr>
            <w:jc w:val="center"/>
            <w:rPr>
              <w:rFonts w:ascii="Times New Roman" w:hAnsi="Times New Roman" w:cs="Times New Roman"/>
              <w:sz w:val="16"/>
              <w:szCs w:val="16"/>
            </w:rPr>
          </w:pPr>
          <w:r>
            <w:rPr>
              <w:rFonts w:ascii="Times New Roman" w:hAnsi="Times New Roman" w:cs="Times New Roman"/>
              <w:b/>
              <w:bCs/>
              <w:sz w:val="16"/>
              <w:szCs w:val="16"/>
            </w:rPr>
            <w:t>lub</w:t>
          </w:r>
          <w:r w:rsidR="00136551">
            <w:rPr>
              <w:rFonts w:ascii="Times New Roman" w:hAnsi="Times New Roman" w:cs="Times New Roman"/>
              <w:b/>
              <w:bCs/>
              <w:sz w:val="16"/>
              <w:szCs w:val="16"/>
            </w:rPr>
            <w:br/>
          </w:r>
          <w:r>
            <w:rPr>
              <w:rFonts w:ascii="Times New Roman" w:hAnsi="Times New Roman" w:cs="Times New Roman"/>
              <w:b/>
              <w:bCs/>
              <w:sz w:val="16"/>
              <w:szCs w:val="16"/>
            </w:rPr>
            <w:t>p</w:t>
          </w:r>
          <w:r w:rsidR="00136551" w:rsidRPr="00E738A5">
            <w:rPr>
              <w:rFonts w:ascii="Times New Roman" w:hAnsi="Times New Roman" w:cs="Times New Roman"/>
              <w:b/>
              <w:bCs/>
              <w:sz w:val="16"/>
              <w:szCs w:val="16"/>
            </w:rPr>
            <w:t>kt OSR</w:t>
          </w:r>
        </w:p>
      </w:tc>
      <w:tc>
        <w:tcPr>
          <w:tcW w:w="5670" w:type="dxa"/>
          <w:vAlign w:val="center"/>
        </w:tcPr>
        <w:p w14:paraId="36A5BA4A" w14:textId="29A25B97" w:rsidR="00136551" w:rsidRPr="00E35677" w:rsidRDefault="00136551" w:rsidP="00136551">
          <w:pPr>
            <w:jc w:val="center"/>
            <w:rPr>
              <w:rFonts w:ascii="Times New Roman" w:hAnsi="Times New Roman" w:cs="Times New Roman"/>
              <w:sz w:val="20"/>
            </w:rPr>
          </w:pPr>
          <w:r>
            <w:rPr>
              <w:rFonts w:ascii="Times New Roman" w:hAnsi="Times New Roman" w:cs="Times New Roman"/>
              <w:b/>
              <w:bCs/>
              <w:sz w:val="20"/>
            </w:rPr>
            <w:t>Treść uwagi</w:t>
          </w:r>
          <w:r w:rsidR="00314CFD">
            <w:rPr>
              <w:rFonts w:ascii="Times New Roman" w:hAnsi="Times New Roman" w:cs="Times New Roman"/>
              <w:b/>
              <w:bCs/>
              <w:sz w:val="20"/>
            </w:rPr>
            <w:t>/p</w:t>
          </w:r>
          <w:r>
            <w:rPr>
              <w:rFonts w:ascii="Times New Roman" w:hAnsi="Times New Roman" w:cs="Times New Roman"/>
              <w:b/>
              <w:bCs/>
              <w:sz w:val="20"/>
            </w:rPr>
            <w:t xml:space="preserve">ropozycja </w:t>
          </w:r>
          <w:r w:rsidR="00314CFD">
            <w:rPr>
              <w:rFonts w:ascii="Times New Roman" w:hAnsi="Times New Roman" w:cs="Times New Roman"/>
              <w:b/>
              <w:bCs/>
              <w:sz w:val="20"/>
            </w:rPr>
            <w:t>prze</w:t>
          </w:r>
          <w:r>
            <w:rPr>
              <w:rFonts w:ascii="Times New Roman" w:hAnsi="Times New Roman" w:cs="Times New Roman"/>
              <w:b/>
              <w:bCs/>
              <w:sz w:val="20"/>
            </w:rPr>
            <w:t>pisu</w:t>
          </w:r>
        </w:p>
      </w:tc>
      <w:tc>
        <w:tcPr>
          <w:tcW w:w="4189" w:type="dxa"/>
        </w:tcPr>
        <w:p w14:paraId="0EE8722A" w14:textId="77777777" w:rsidR="00136551" w:rsidRDefault="00136551" w:rsidP="00136551">
          <w:pPr>
            <w:jc w:val="center"/>
            <w:rPr>
              <w:rFonts w:ascii="Times New Roman" w:hAnsi="Times New Roman" w:cs="Times New Roman"/>
              <w:b/>
              <w:bCs/>
              <w:i/>
              <w:sz w:val="20"/>
            </w:rPr>
          </w:pPr>
        </w:p>
        <w:p w14:paraId="06708177" w14:textId="5FB44390" w:rsidR="00136551" w:rsidRPr="00E35677" w:rsidRDefault="00136551" w:rsidP="00136551">
          <w:pPr>
            <w:jc w:val="center"/>
            <w:rPr>
              <w:rFonts w:ascii="Times New Roman" w:hAnsi="Times New Roman" w:cs="Times New Roman"/>
              <w:b/>
              <w:bCs/>
              <w:sz w:val="20"/>
            </w:rPr>
          </w:pPr>
          <w:r>
            <w:rPr>
              <w:rFonts w:ascii="Times New Roman" w:hAnsi="Times New Roman" w:cs="Times New Roman"/>
              <w:b/>
              <w:bCs/>
              <w:sz w:val="20"/>
            </w:rPr>
            <w:t xml:space="preserve">Stanowisko </w:t>
          </w:r>
          <w:r w:rsidR="003514BB">
            <w:rPr>
              <w:rFonts w:ascii="Times New Roman" w:hAnsi="Times New Roman" w:cs="Times New Roman"/>
              <w:b/>
              <w:bCs/>
              <w:sz w:val="20"/>
            </w:rPr>
            <w:t>MS</w:t>
          </w:r>
        </w:p>
      </w:tc>
    </w:tr>
  </w:tbl>
  <w:p w14:paraId="58721467" w14:textId="77777777" w:rsidR="00136551" w:rsidRDefault="001365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422"/>
    <w:multiLevelType w:val="hybridMultilevel"/>
    <w:tmpl w:val="1EA4D2FA"/>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 w15:restartNumberingAfterBreak="0">
    <w:nsid w:val="09A35A44"/>
    <w:multiLevelType w:val="hybridMultilevel"/>
    <w:tmpl w:val="BDD29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B3421"/>
    <w:multiLevelType w:val="hybridMultilevel"/>
    <w:tmpl w:val="3F3C306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F69C8"/>
    <w:multiLevelType w:val="hybridMultilevel"/>
    <w:tmpl w:val="401489DE"/>
    <w:lvl w:ilvl="0" w:tplc="2408B1AA">
      <w:start w:val="2"/>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4" w15:restartNumberingAfterBreak="0">
    <w:nsid w:val="102E7131"/>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5" w15:restartNumberingAfterBreak="0">
    <w:nsid w:val="15772F5C"/>
    <w:multiLevelType w:val="hybridMultilevel"/>
    <w:tmpl w:val="62AA7BF8"/>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6" w15:restartNumberingAfterBreak="0">
    <w:nsid w:val="1784680D"/>
    <w:multiLevelType w:val="hybridMultilevel"/>
    <w:tmpl w:val="2BB4171C"/>
    <w:lvl w:ilvl="0" w:tplc="BAE6A3BE">
      <w:start w:val="1"/>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7" w15:restartNumberingAfterBreak="0">
    <w:nsid w:val="1E376196"/>
    <w:multiLevelType w:val="hybridMultilevel"/>
    <w:tmpl w:val="76DEBE4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84FB4"/>
    <w:multiLevelType w:val="hybridMultilevel"/>
    <w:tmpl w:val="49FA505E"/>
    <w:lvl w:ilvl="0" w:tplc="8B141934">
      <w:start w:val="20"/>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9" w15:restartNumberingAfterBreak="0">
    <w:nsid w:val="2035363E"/>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0" w15:restartNumberingAfterBreak="0">
    <w:nsid w:val="331572DA"/>
    <w:multiLevelType w:val="hybridMultilevel"/>
    <w:tmpl w:val="BDA056DE"/>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 w15:restartNumberingAfterBreak="0">
    <w:nsid w:val="416D46F4"/>
    <w:multiLevelType w:val="hybridMultilevel"/>
    <w:tmpl w:val="91BEBE3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2" w15:restartNumberingAfterBreak="0">
    <w:nsid w:val="42F74FD3"/>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3" w15:restartNumberingAfterBreak="0">
    <w:nsid w:val="49A45834"/>
    <w:multiLevelType w:val="multilevel"/>
    <w:tmpl w:val="082E21AE"/>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4C3D7A92"/>
    <w:multiLevelType w:val="hybridMultilevel"/>
    <w:tmpl w:val="A7086286"/>
    <w:lvl w:ilvl="0" w:tplc="81422714">
      <w:start w:val="1"/>
      <w:numFmt w:val="decimal"/>
      <w:lvlText w:val="%1)"/>
      <w:lvlJc w:val="left"/>
      <w:pPr>
        <w:ind w:left="870" w:hanging="360"/>
      </w:pPr>
      <w:rPr>
        <w:rFonts w:cs="Times New Roman"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5" w15:restartNumberingAfterBreak="0">
    <w:nsid w:val="4D2C5E34"/>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4EC052B0"/>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53DD0B2E"/>
    <w:multiLevelType w:val="hybridMultilevel"/>
    <w:tmpl w:val="6C7EC00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800F7F"/>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9" w15:restartNumberingAfterBreak="0">
    <w:nsid w:val="6C7109D4"/>
    <w:multiLevelType w:val="hybridMultilevel"/>
    <w:tmpl w:val="F4C82F44"/>
    <w:lvl w:ilvl="0" w:tplc="BBC653A2">
      <w:start w:val="1"/>
      <w:numFmt w:val="decimal"/>
      <w:lvlText w:val="%1)"/>
      <w:lvlJc w:val="left"/>
      <w:pPr>
        <w:ind w:left="321" w:hanging="360"/>
      </w:pPr>
      <w:rPr>
        <w:rFonts w:hint="default"/>
        <w:color w:val="000000" w:themeColor="text1"/>
      </w:rPr>
    </w:lvl>
    <w:lvl w:ilvl="1" w:tplc="04150019" w:tentative="1">
      <w:start w:val="1"/>
      <w:numFmt w:val="lowerLetter"/>
      <w:lvlText w:val="%2."/>
      <w:lvlJc w:val="left"/>
      <w:pPr>
        <w:ind w:left="1041" w:hanging="360"/>
      </w:pPr>
    </w:lvl>
    <w:lvl w:ilvl="2" w:tplc="0415001B" w:tentative="1">
      <w:start w:val="1"/>
      <w:numFmt w:val="lowerRoman"/>
      <w:lvlText w:val="%3."/>
      <w:lvlJc w:val="right"/>
      <w:pPr>
        <w:ind w:left="1761" w:hanging="180"/>
      </w:pPr>
    </w:lvl>
    <w:lvl w:ilvl="3" w:tplc="0415000F" w:tentative="1">
      <w:start w:val="1"/>
      <w:numFmt w:val="decimal"/>
      <w:lvlText w:val="%4."/>
      <w:lvlJc w:val="left"/>
      <w:pPr>
        <w:ind w:left="2481" w:hanging="360"/>
      </w:pPr>
    </w:lvl>
    <w:lvl w:ilvl="4" w:tplc="04150019" w:tentative="1">
      <w:start w:val="1"/>
      <w:numFmt w:val="lowerLetter"/>
      <w:lvlText w:val="%5."/>
      <w:lvlJc w:val="left"/>
      <w:pPr>
        <w:ind w:left="3201" w:hanging="360"/>
      </w:pPr>
    </w:lvl>
    <w:lvl w:ilvl="5" w:tplc="0415001B" w:tentative="1">
      <w:start w:val="1"/>
      <w:numFmt w:val="lowerRoman"/>
      <w:lvlText w:val="%6."/>
      <w:lvlJc w:val="right"/>
      <w:pPr>
        <w:ind w:left="3921" w:hanging="180"/>
      </w:pPr>
    </w:lvl>
    <w:lvl w:ilvl="6" w:tplc="0415000F" w:tentative="1">
      <w:start w:val="1"/>
      <w:numFmt w:val="decimal"/>
      <w:lvlText w:val="%7."/>
      <w:lvlJc w:val="left"/>
      <w:pPr>
        <w:ind w:left="4641" w:hanging="360"/>
      </w:pPr>
    </w:lvl>
    <w:lvl w:ilvl="7" w:tplc="04150019" w:tentative="1">
      <w:start w:val="1"/>
      <w:numFmt w:val="lowerLetter"/>
      <w:lvlText w:val="%8."/>
      <w:lvlJc w:val="left"/>
      <w:pPr>
        <w:ind w:left="5361" w:hanging="360"/>
      </w:pPr>
    </w:lvl>
    <w:lvl w:ilvl="8" w:tplc="0415001B" w:tentative="1">
      <w:start w:val="1"/>
      <w:numFmt w:val="lowerRoman"/>
      <w:lvlText w:val="%9."/>
      <w:lvlJc w:val="right"/>
      <w:pPr>
        <w:ind w:left="6081" w:hanging="180"/>
      </w:pPr>
    </w:lvl>
  </w:abstractNum>
  <w:abstractNum w:abstractNumId="20" w15:restartNumberingAfterBreak="0">
    <w:nsid w:val="703E54E6"/>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1" w15:restartNumberingAfterBreak="0">
    <w:nsid w:val="72253848"/>
    <w:multiLevelType w:val="hybridMultilevel"/>
    <w:tmpl w:val="8F10F6AE"/>
    <w:lvl w:ilvl="0" w:tplc="C7B04F10">
      <w:start w:val="2"/>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22" w15:restartNumberingAfterBreak="0">
    <w:nsid w:val="764744B3"/>
    <w:multiLevelType w:val="hybridMultilevel"/>
    <w:tmpl w:val="363600DC"/>
    <w:lvl w:ilvl="0" w:tplc="FF98001A">
      <w:start w:val="1"/>
      <w:numFmt w:val="decimal"/>
      <w:lvlText w:val="%1)"/>
      <w:lvlJc w:val="left"/>
      <w:pPr>
        <w:ind w:left="405" w:hanging="360"/>
      </w:pPr>
      <w:rPr>
        <w:rFonts w:hint="default"/>
        <w:u w:val="non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3" w15:restartNumberingAfterBreak="0">
    <w:nsid w:val="7A62535D"/>
    <w:multiLevelType w:val="hybridMultilevel"/>
    <w:tmpl w:val="EB745030"/>
    <w:lvl w:ilvl="0" w:tplc="D49029A2">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47264F"/>
    <w:multiLevelType w:val="hybridMultilevel"/>
    <w:tmpl w:val="222087AA"/>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BE28C9"/>
    <w:multiLevelType w:val="hybridMultilevel"/>
    <w:tmpl w:val="3D2046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C81B9E"/>
    <w:multiLevelType w:val="hybridMultilevel"/>
    <w:tmpl w:val="DAFC9EEA"/>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7" w15:restartNumberingAfterBreak="0">
    <w:nsid w:val="7F761D00"/>
    <w:multiLevelType w:val="hybridMultilevel"/>
    <w:tmpl w:val="6CFC6D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3294299">
    <w:abstractNumId w:val="6"/>
  </w:num>
  <w:num w:numId="2" w16cid:durableId="1928346674">
    <w:abstractNumId w:val="8"/>
  </w:num>
  <w:num w:numId="3" w16cid:durableId="715467715">
    <w:abstractNumId w:val="21"/>
  </w:num>
  <w:num w:numId="4" w16cid:durableId="473527055">
    <w:abstractNumId w:val="3"/>
  </w:num>
  <w:num w:numId="5" w16cid:durableId="307560840">
    <w:abstractNumId w:val="22"/>
  </w:num>
  <w:num w:numId="6" w16cid:durableId="341318090">
    <w:abstractNumId w:val="19"/>
  </w:num>
  <w:num w:numId="7" w16cid:durableId="669019641">
    <w:abstractNumId w:val="0"/>
  </w:num>
  <w:num w:numId="8" w16cid:durableId="160313311">
    <w:abstractNumId w:val="2"/>
  </w:num>
  <w:num w:numId="9" w16cid:durableId="1328438489">
    <w:abstractNumId w:val="17"/>
  </w:num>
  <w:num w:numId="10" w16cid:durableId="1168520527">
    <w:abstractNumId w:val="10"/>
  </w:num>
  <w:num w:numId="11" w16cid:durableId="1458983259">
    <w:abstractNumId w:val="26"/>
  </w:num>
  <w:num w:numId="12" w16cid:durableId="101076855">
    <w:abstractNumId w:val="24"/>
  </w:num>
  <w:num w:numId="13" w16cid:durableId="1419522992">
    <w:abstractNumId w:val="18"/>
  </w:num>
  <w:num w:numId="14" w16cid:durableId="694961097">
    <w:abstractNumId w:val="15"/>
  </w:num>
  <w:num w:numId="15" w16cid:durableId="319777650">
    <w:abstractNumId w:val="11"/>
  </w:num>
  <w:num w:numId="16" w16cid:durableId="74401415">
    <w:abstractNumId w:val="5"/>
  </w:num>
  <w:num w:numId="17" w16cid:durableId="842747190">
    <w:abstractNumId w:val="13"/>
  </w:num>
  <w:num w:numId="18" w16cid:durableId="2121607385">
    <w:abstractNumId w:val="14"/>
  </w:num>
  <w:num w:numId="19" w16cid:durableId="1420758002">
    <w:abstractNumId w:val="12"/>
  </w:num>
  <w:num w:numId="20" w16cid:durableId="1080906669">
    <w:abstractNumId w:val="9"/>
  </w:num>
  <w:num w:numId="21" w16cid:durableId="2006977038">
    <w:abstractNumId w:val="4"/>
  </w:num>
  <w:num w:numId="22" w16cid:durableId="72241673">
    <w:abstractNumId w:val="20"/>
  </w:num>
  <w:num w:numId="23" w16cid:durableId="784349384">
    <w:abstractNumId w:val="16"/>
  </w:num>
  <w:num w:numId="24" w16cid:durableId="796409073">
    <w:abstractNumId w:val="27"/>
  </w:num>
  <w:num w:numId="25" w16cid:durableId="1425607839">
    <w:abstractNumId w:val="23"/>
  </w:num>
  <w:num w:numId="26" w16cid:durableId="1245259583">
    <w:abstractNumId w:val="1"/>
  </w:num>
  <w:num w:numId="27" w16cid:durableId="2124306181">
    <w:abstractNumId w:val="25"/>
  </w:num>
  <w:num w:numId="28" w16cid:durableId="6955460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57"/>
    <w:rsid w:val="000002F3"/>
    <w:rsid w:val="000014EE"/>
    <w:rsid w:val="00001AF8"/>
    <w:rsid w:val="000037E0"/>
    <w:rsid w:val="000042CC"/>
    <w:rsid w:val="0001501B"/>
    <w:rsid w:val="000153D6"/>
    <w:rsid w:val="000161F5"/>
    <w:rsid w:val="00017F99"/>
    <w:rsid w:val="000201EB"/>
    <w:rsid w:val="0002291B"/>
    <w:rsid w:val="000240A6"/>
    <w:rsid w:val="00035BF2"/>
    <w:rsid w:val="000361E2"/>
    <w:rsid w:val="00036FF8"/>
    <w:rsid w:val="000419A5"/>
    <w:rsid w:val="00046E83"/>
    <w:rsid w:val="00047194"/>
    <w:rsid w:val="000566FC"/>
    <w:rsid w:val="000662BB"/>
    <w:rsid w:val="00072580"/>
    <w:rsid w:val="000770EE"/>
    <w:rsid w:val="00084004"/>
    <w:rsid w:val="00084817"/>
    <w:rsid w:val="00084A2A"/>
    <w:rsid w:val="00085E2E"/>
    <w:rsid w:val="00087CC2"/>
    <w:rsid w:val="000911E2"/>
    <w:rsid w:val="00091E51"/>
    <w:rsid w:val="00091F2A"/>
    <w:rsid w:val="000A1628"/>
    <w:rsid w:val="000A32E5"/>
    <w:rsid w:val="000A5068"/>
    <w:rsid w:val="000B1157"/>
    <w:rsid w:val="000B346A"/>
    <w:rsid w:val="000C00BA"/>
    <w:rsid w:val="000C0305"/>
    <w:rsid w:val="000C16AA"/>
    <w:rsid w:val="000C2581"/>
    <w:rsid w:val="000C2E71"/>
    <w:rsid w:val="000D0B01"/>
    <w:rsid w:val="000D3780"/>
    <w:rsid w:val="000D5B0B"/>
    <w:rsid w:val="000F1E29"/>
    <w:rsid w:val="000F2507"/>
    <w:rsid w:val="000F60F2"/>
    <w:rsid w:val="00100A35"/>
    <w:rsid w:val="00101465"/>
    <w:rsid w:val="00104658"/>
    <w:rsid w:val="001146C0"/>
    <w:rsid w:val="001361B5"/>
    <w:rsid w:val="00136551"/>
    <w:rsid w:val="001403E2"/>
    <w:rsid w:val="00140448"/>
    <w:rsid w:val="00141978"/>
    <w:rsid w:val="001470CE"/>
    <w:rsid w:val="001478AD"/>
    <w:rsid w:val="00151C2E"/>
    <w:rsid w:val="00154288"/>
    <w:rsid w:val="001605E0"/>
    <w:rsid w:val="00160DFF"/>
    <w:rsid w:val="00162E98"/>
    <w:rsid w:val="001651CE"/>
    <w:rsid w:val="00170B98"/>
    <w:rsid w:val="00170E91"/>
    <w:rsid w:val="00176B89"/>
    <w:rsid w:val="00177EC3"/>
    <w:rsid w:val="00182741"/>
    <w:rsid w:val="00183E1B"/>
    <w:rsid w:val="00186B6F"/>
    <w:rsid w:val="00187469"/>
    <w:rsid w:val="00187D24"/>
    <w:rsid w:val="00187E3D"/>
    <w:rsid w:val="00190C60"/>
    <w:rsid w:val="0019322F"/>
    <w:rsid w:val="00193AB3"/>
    <w:rsid w:val="00195C67"/>
    <w:rsid w:val="00196827"/>
    <w:rsid w:val="001A074B"/>
    <w:rsid w:val="001A2EBB"/>
    <w:rsid w:val="001A3C91"/>
    <w:rsid w:val="001A4155"/>
    <w:rsid w:val="001A6A56"/>
    <w:rsid w:val="001B0B65"/>
    <w:rsid w:val="001B0FEA"/>
    <w:rsid w:val="001B4FAE"/>
    <w:rsid w:val="001C027C"/>
    <w:rsid w:val="001C0998"/>
    <w:rsid w:val="001C36FD"/>
    <w:rsid w:val="001C4E87"/>
    <w:rsid w:val="001D1F67"/>
    <w:rsid w:val="001D3709"/>
    <w:rsid w:val="001D6E87"/>
    <w:rsid w:val="001E01AE"/>
    <w:rsid w:val="001E1A73"/>
    <w:rsid w:val="001E459D"/>
    <w:rsid w:val="001E5FE3"/>
    <w:rsid w:val="001F0431"/>
    <w:rsid w:val="001F1F78"/>
    <w:rsid w:val="001F30F7"/>
    <w:rsid w:val="001F3A0F"/>
    <w:rsid w:val="001F4958"/>
    <w:rsid w:val="001F51B9"/>
    <w:rsid w:val="0020210D"/>
    <w:rsid w:val="00203204"/>
    <w:rsid w:val="0020383B"/>
    <w:rsid w:val="00210E70"/>
    <w:rsid w:val="00211E49"/>
    <w:rsid w:val="00213BC0"/>
    <w:rsid w:val="00214B10"/>
    <w:rsid w:val="002175AC"/>
    <w:rsid w:val="00222088"/>
    <w:rsid w:val="002236FF"/>
    <w:rsid w:val="002354DE"/>
    <w:rsid w:val="00242233"/>
    <w:rsid w:val="0024476B"/>
    <w:rsid w:val="00245C59"/>
    <w:rsid w:val="00246652"/>
    <w:rsid w:val="002471AD"/>
    <w:rsid w:val="00252F32"/>
    <w:rsid w:val="0025788B"/>
    <w:rsid w:val="002618F3"/>
    <w:rsid w:val="00262EE7"/>
    <w:rsid w:val="002662EA"/>
    <w:rsid w:val="00271B94"/>
    <w:rsid w:val="002724CC"/>
    <w:rsid w:val="00277FC9"/>
    <w:rsid w:val="00282ADB"/>
    <w:rsid w:val="0028475B"/>
    <w:rsid w:val="002860D9"/>
    <w:rsid w:val="002936DB"/>
    <w:rsid w:val="00294B65"/>
    <w:rsid w:val="00296524"/>
    <w:rsid w:val="002968CB"/>
    <w:rsid w:val="00296C54"/>
    <w:rsid w:val="002970EE"/>
    <w:rsid w:val="002A11F8"/>
    <w:rsid w:val="002A35CE"/>
    <w:rsid w:val="002A36F4"/>
    <w:rsid w:val="002A3F06"/>
    <w:rsid w:val="002A6ED8"/>
    <w:rsid w:val="002A75FB"/>
    <w:rsid w:val="002B0F4E"/>
    <w:rsid w:val="002B2FEB"/>
    <w:rsid w:val="002B3D3E"/>
    <w:rsid w:val="002B44EC"/>
    <w:rsid w:val="002B51BD"/>
    <w:rsid w:val="002C1C96"/>
    <w:rsid w:val="002C39F2"/>
    <w:rsid w:val="002C46ED"/>
    <w:rsid w:val="002C53B8"/>
    <w:rsid w:val="002D02C8"/>
    <w:rsid w:val="002D1850"/>
    <w:rsid w:val="002D1E81"/>
    <w:rsid w:val="002D571D"/>
    <w:rsid w:val="002D60B8"/>
    <w:rsid w:val="002D6B7C"/>
    <w:rsid w:val="002E0623"/>
    <w:rsid w:val="002E0918"/>
    <w:rsid w:val="002E382B"/>
    <w:rsid w:val="002E6808"/>
    <w:rsid w:val="002F1680"/>
    <w:rsid w:val="002F302C"/>
    <w:rsid w:val="002F7814"/>
    <w:rsid w:val="00314CFD"/>
    <w:rsid w:val="00316A48"/>
    <w:rsid w:val="00320F2C"/>
    <w:rsid w:val="00322BC5"/>
    <w:rsid w:val="003243F9"/>
    <w:rsid w:val="00325A3E"/>
    <w:rsid w:val="0032782E"/>
    <w:rsid w:val="003344E3"/>
    <w:rsid w:val="0033797A"/>
    <w:rsid w:val="00340A30"/>
    <w:rsid w:val="003414E2"/>
    <w:rsid w:val="00341F7C"/>
    <w:rsid w:val="00342C70"/>
    <w:rsid w:val="003462B1"/>
    <w:rsid w:val="003514BB"/>
    <w:rsid w:val="00352422"/>
    <w:rsid w:val="003565A1"/>
    <w:rsid w:val="00357948"/>
    <w:rsid w:val="00367236"/>
    <w:rsid w:val="003706A6"/>
    <w:rsid w:val="00372CAE"/>
    <w:rsid w:val="00374ECE"/>
    <w:rsid w:val="003842D9"/>
    <w:rsid w:val="003A430E"/>
    <w:rsid w:val="003A5018"/>
    <w:rsid w:val="003B0BE5"/>
    <w:rsid w:val="003B18B5"/>
    <w:rsid w:val="003B5D5E"/>
    <w:rsid w:val="003C1000"/>
    <w:rsid w:val="003D13BB"/>
    <w:rsid w:val="003D1CAB"/>
    <w:rsid w:val="003D2B9E"/>
    <w:rsid w:val="003D38BE"/>
    <w:rsid w:val="003D7D21"/>
    <w:rsid w:val="003E5D74"/>
    <w:rsid w:val="003E602F"/>
    <w:rsid w:val="003F0432"/>
    <w:rsid w:val="003F148E"/>
    <w:rsid w:val="003F2ED2"/>
    <w:rsid w:val="00400D25"/>
    <w:rsid w:val="00400E97"/>
    <w:rsid w:val="00403016"/>
    <w:rsid w:val="00404198"/>
    <w:rsid w:val="00405079"/>
    <w:rsid w:val="00414EA2"/>
    <w:rsid w:val="00430ADA"/>
    <w:rsid w:val="00430C65"/>
    <w:rsid w:val="00443077"/>
    <w:rsid w:val="00444FDB"/>
    <w:rsid w:val="00445823"/>
    <w:rsid w:val="00445C04"/>
    <w:rsid w:val="00450399"/>
    <w:rsid w:val="004509FE"/>
    <w:rsid w:val="00452E52"/>
    <w:rsid w:val="004577CA"/>
    <w:rsid w:val="00457D75"/>
    <w:rsid w:val="00462DBB"/>
    <w:rsid w:val="00462F0E"/>
    <w:rsid w:val="00463B54"/>
    <w:rsid w:val="00473153"/>
    <w:rsid w:val="0047582C"/>
    <w:rsid w:val="00477CC2"/>
    <w:rsid w:val="00482594"/>
    <w:rsid w:val="00483419"/>
    <w:rsid w:val="0048532A"/>
    <w:rsid w:val="0048554C"/>
    <w:rsid w:val="004977F7"/>
    <w:rsid w:val="004A28E0"/>
    <w:rsid w:val="004A7895"/>
    <w:rsid w:val="004B1553"/>
    <w:rsid w:val="004B1644"/>
    <w:rsid w:val="004B3DB1"/>
    <w:rsid w:val="004B41E9"/>
    <w:rsid w:val="004B6E65"/>
    <w:rsid w:val="004C2F6D"/>
    <w:rsid w:val="004C5501"/>
    <w:rsid w:val="004D0C6A"/>
    <w:rsid w:val="004D2D92"/>
    <w:rsid w:val="004D72CB"/>
    <w:rsid w:val="004E0816"/>
    <w:rsid w:val="004E5FC2"/>
    <w:rsid w:val="004E7994"/>
    <w:rsid w:val="004F19C7"/>
    <w:rsid w:val="004F5F18"/>
    <w:rsid w:val="0050045E"/>
    <w:rsid w:val="00500B21"/>
    <w:rsid w:val="005040BC"/>
    <w:rsid w:val="005054C0"/>
    <w:rsid w:val="005134B0"/>
    <w:rsid w:val="0051434B"/>
    <w:rsid w:val="00516FE0"/>
    <w:rsid w:val="0051743F"/>
    <w:rsid w:val="00525F95"/>
    <w:rsid w:val="00537F4C"/>
    <w:rsid w:val="005418E2"/>
    <w:rsid w:val="00543F19"/>
    <w:rsid w:val="0054575C"/>
    <w:rsid w:val="00545CD3"/>
    <w:rsid w:val="005471C2"/>
    <w:rsid w:val="005471FD"/>
    <w:rsid w:val="00547B41"/>
    <w:rsid w:val="00550EAD"/>
    <w:rsid w:val="00553107"/>
    <w:rsid w:val="00555265"/>
    <w:rsid w:val="0055765C"/>
    <w:rsid w:val="00563A78"/>
    <w:rsid w:val="00565B12"/>
    <w:rsid w:val="00566B88"/>
    <w:rsid w:val="0057151E"/>
    <w:rsid w:val="00573B45"/>
    <w:rsid w:val="00574FAE"/>
    <w:rsid w:val="005756BE"/>
    <w:rsid w:val="00575A10"/>
    <w:rsid w:val="00575BE0"/>
    <w:rsid w:val="00576D40"/>
    <w:rsid w:val="00584B80"/>
    <w:rsid w:val="0058530C"/>
    <w:rsid w:val="00590D7C"/>
    <w:rsid w:val="00592953"/>
    <w:rsid w:val="005A4119"/>
    <w:rsid w:val="005A50A3"/>
    <w:rsid w:val="005A5DD9"/>
    <w:rsid w:val="005A7AD5"/>
    <w:rsid w:val="005B2F36"/>
    <w:rsid w:val="005B7004"/>
    <w:rsid w:val="005B7C03"/>
    <w:rsid w:val="005C0193"/>
    <w:rsid w:val="005C0CC5"/>
    <w:rsid w:val="005C0EEF"/>
    <w:rsid w:val="005C23F7"/>
    <w:rsid w:val="005C4979"/>
    <w:rsid w:val="005C644D"/>
    <w:rsid w:val="005D103B"/>
    <w:rsid w:val="005D442D"/>
    <w:rsid w:val="005E0A86"/>
    <w:rsid w:val="005E3599"/>
    <w:rsid w:val="005F7563"/>
    <w:rsid w:val="00602CEE"/>
    <w:rsid w:val="00611583"/>
    <w:rsid w:val="006156DE"/>
    <w:rsid w:val="00621334"/>
    <w:rsid w:val="0063071F"/>
    <w:rsid w:val="006315C4"/>
    <w:rsid w:val="006321C8"/>
    <w:rsid w:val="00632B5C"/>
    <w:rsid w:val="006354CF"/>
    <w:rsid w:val="00635AE3"/>
    <w:rsid w:val="006375BD"/>
    <w:rsid w:val="00637966"/>
    <w:rsid w:val="00637AFE"/>
    <w:rsid w:val="00644344"/>
    <w:rsid w:val="00644FD8"/>
    <w:rsid w:val="006475E7"/>
    <w:rsid w:val="00650E16"/>
    <w:rsid w:val="00651903"/>
    <w:rsid w:val="0065297A"/>
    <w:rsid w:val="006535DE"/>
    <w:rsid w:val="006540FB"/>
    <w:rsid w:val="00657C1D"/>
    <w:rsid w:val="0066331E"/>
    <w:rsid w:val="00664802"/>
    <w:rsid w:val="006669AD"/>
    <w:rsid w:val="00666B2B"/>
    <w:rsid w:val="00672444"/>
    <w:rsid w:val="0067271E"/>
    <w:rsid w:val="00674BCF"/>
    <w:rsid w:val="006771BA"/>
    <w:rsid w:val="00682C1C"/>
    <w:rsid w:val="00683197"/>
    <w:rsid w:val="00685099"/>
    <w:rsid w:val="006926EE"/>
    <w:rsid w:val="0069368F"/>
    <w:rsid w:val="006A1976"/>
    <w:rsid w:val="006A1D66"/>
    <w:rsid w:val="006A2B9D"/>
    <w:rsid w:val="006A300E"/>
    <w:rsid w:val="006A340A"/>
    <w:rsid w:val="006B496B"/>
    <w:rsid w:val="006C2BC9"/>
    <w:rsid w:val="006C42B2"/>
    <w:rsid w:val="006C7994"/>
    <w:rsid w:val="006D00D4"/>
    <w:rsid w:val="006D0AE4"/>
    <w:rsid w:val="006D2496"/>
    <w:rsid w:val="006D307A"/>
    <w:rsid w:val="006E3E8F"/>
    <w:rsid w:val="006E631D"/>
    <w:rsid w:val="006F0D7B"/>
    <w:rsid w:val="006F1155"/>
    <w:rsid w:val="006F6137"/>
    <w:rsid w:val="006F6F66"/>
    <w:rsid w:val="00700551"/>
    <w:rsid w:val="007018E8"/>
    <w:rsid w:val="007023BB"/>
    <w:rsid w:val="007067EA"/>
    <w:rsid w:val="00707815"/>
    <w:rsid w:val="00712752"/>
    <w:rsid w:val="007166EC"/>
    <w:rsid w:val="007205AB"/>
    <w:rsid w:val="0072155A"/>
    <w:rsid w:val="0072292F"/>
    <w:rsid w:val="007268AE"/>
    <w:rsid w:val="00726CC1"/>
    <w:rsid w:val="00730C35"/>
    <w:rsid w:val="00735AA5"/>
    <w:rsid w:val="00741A58"/>
    <w:rsid w:val="00742660"/>
    <w:rsid w:val="00745BA3"/>
    <w:rsid w:val="00750CCB"/>
    <w:rsid w:val="00751B0F"/>
    <w:rsid w:val="00755562"/>
    <w:rsid w:val="00756A51"/>
    <w:rsid w:val="0076077D"/>
    <w:rsid w:val="007653FF"/>
    <w:rsid w:val="00765B7F"/>
    <w:rsid w:val="00766F26"/>
    <w:rsid w:val="0077583A"/>
    <w:rsid w:val="00775DA1"/>
    <w:rsid w:val="00777763"/>
    <w:rsid w:val="0078242E"/>
    <w:rsid w:val="00784727"/>
    <w:rsid w:val="00790E38"/>
    <w:rsid w:val="00791FE5"/>
    <w:rsid w:val="00795236"/>
    <w:rsid w:val="00795E6F"/>
    <w:rsid w:val="0079667F"/>
    <w:rsid w:val="007A4598"/>
    <w:rsid w:val="007A4CC7"/>
    <w:rsid w:val="007A5411"/>
    <w:rsid w:val="007A627A"/>
    <w:rsid w:val="007A7EE2"/>
    <w:rsid w:val="007B1BB1"/>
    <w:rsid w:val="007B429F"/>
    <w:rsid w:val="007B648A"/>
    <w:rsid w:val="007C2560"/>
    <w:rsid w:val="007C404E"/>
    <w:rsid w:val="007C78B2"/>
    <w:rsid w:val="007D0B00"/>
    <w:rsid w:val="007D1C64"/>
    <w:rsid w:val="007E2159"/>
    <w:rsid w:val="007E4CBE"/>
    <w:rsid w:val="007E577E"/>
    <w:rsid w:val="007E6010"/>
    <w:rsid w:val="007F0C43"/>
    <w:rsid w:val="007F2ADB"/>
    <w:rsid w:val="007F39C0"/>
    <w:rsid w:val="007F3B3A"/>
    <w:rsid w:val="007F4AAF"/>
    <w:rsid w:val="008023B8"/>
    <w:rsid w:val="00803108"/>
    <w:rsid w:val="00803DF3"/>
    <w:rsid w:val="008059D0"/>
    <w:rsid w:val="00812742"/>
    <w:rsid w:val="00812D47"/>
    <w:rsid w:val="00814CE9"/>
    <w:rsid w:val="00815C6B"/>
    <w:rsid w:val="008164DF"/>
    <w:rsid w:val="008203CF"/>
    <w:rsid w:val="00821C95"/>
    <w:rsid w:val="00830132"/>
    <w:rsid w:val="00830B9E"/>
    <w:rsid w:val="00831113"/>
    <w:rsid w:val="008330CD"/>
    <w:rsid w:val="00834969"/>
    <w:rsid w:val="0083519A"/>
    <w:rsid w:val="00835DC5"/>
    <w:rsid w:val="0083722E"/>
    <w:rsid w:val="0084142E"/>
    <w:rsid w:val="00846003"/>
    <w:rsid w:val="00846C4D"/>
    <w:rsid w:val="00852D75"/>
    <w:rsid w:val="008531D9"/>
    <w:rsid w:val="00861B17"/>
    <w:rsid w:val="00861B5C"/>
    <w:rsid w:val="00861D33"/>
    <w:rsid w:val="008655DB"/>
    <w:rsid w:val="00865AF4"/>
    <w:rsid w:val="008673AC"/>
    <w:rsid w:val="008711E1"/>
    <w:rsid w:val="008763FA"/>
    <w:rsid w:val="00877C88"/>
    <w:rsid w:val="008830BA"/>
    <w:rsid w:val="008842F2"/>
    <w:rsid w:val="008853DD"/>
    <w:rsid w:val="0088784B"/>
    <w:rsid w:val="008911D0"/>
    <w:rsid w:val="00894A68"/>
    <w:rsid w:val="008A1E33"/>
    <w:rsid w:val="008A3A95"/>
    <w:rsid w:val="008A6B5E"/>
    <w:rsid w:val="008B0528"/>
    <w:rsid w:val="008B68BE"/>
    <w:rsid w:val="008B76C2"/>
    <w:rsid w:val="008B7FD6"/>
    <w:rsid w:val="008C33E6"/>
    <w:rsid w:val="008C70DA"/>
    <w:rsid w:val="008D4A0B"/>
    <w:rsid w:val="008D4AD8"/>
    <w:rsid w:val="008D58F1"/>
    <w:rsid w:val="008E2E5E"/>
    <w:rsid w:val="008E3179"/>
    <w:rsid w:val="008F24F5"/>
    <w:rsid w:val="008F4126"/>
    <w:rsid w:val="00901379"/>
    <w:rsid w:val="009051E2"/>
    <w:rsid w:val="00905395"/>
    <w:rsid w:val="00910FED"/>
    <w:rsid w:val="00916263"/>
    <w:rsid w:val="009232CE"/>
    <w:rsid w:val="00925F56"/>
    <w:rsid w:val="00933852"/>
    <w:rsid w:val="00941156"/>
    <w:rsid w:val="00943CC6"/>
    <w:rsid w:val="009532CB"/>
    <w:rsid w:val="00954430"/>
    <w:rsid w:val="00954DA6"/>
    <w:rsid w:val="00957335"/>
    <w:rsid w:val="00963B6A"/>
    <w:rsid w:val="00963DC2"/>
    <w:rsid w:val="009672B1"/>
    <w:rsid w:val="009674FB"/>
    <w:rsid w:val="00967B5D"/>
    <w:rsid w:val="009743F9"/>
    <w:rsid w:val="009760A9"/>
    <w:rsid w:val="009768E8"/>
    <w:rsid w:val="009811E6"/>
    <w:rsid w:val="009816D5"/>
    <w:rsid w:val="00983A14"/>
    <w:rsid w:val="0098475E"/>
    <w:rsid w:val="00984952"/>
    <w:rsid w:val="00987076"/>
    <w:rsid w:val="009918BF"/>
    <w:rsid w:val="009923E7"/>
    <w:rsid w:val="009A27EA"/>
    <w:rsid w:val="009A3389"/>
    <w:rsid w:val="009B5AD3"/>
    <w:rsid w:val="009B6363"/>
    <w:rsid w:val="009C39F6"/>
    <w:rsid w:val="009C3A96"/>
    <w:rsid w:val="009C45A9"/>
    <w:rsid w:val="009C5E04"/>
    <w:rsid w:val="009C6BF4"/>
    <w:rsid w:val="009D02A7"/>
    <w:rsid w:val="009D07D2"/>
    <w:rsid w:val="009D18BA"/>
    <w:rsid w:val="009D30E0"/>
    <w:rsid w:val="009D333E"/>
    <w:rsid w:val="009D37DC"/>
    <w:rsid w:val="009D4953"/>
    <w:rsid w:val="009D4AB7"/>
    <w:rsid w:val="009D5D3C"/>
    <w:rsid w:val="009E1C1A"/>
    <w:rsid w:val="009F04C1"/>
    <w:rsid w:val="00A11E28"/>
    <w:rsid w:val="00A1326C"/>
    <w:rsid w:val="00A2056F"/>
    <w:rsid w:val="00A30B13"/>
    <w:rsid w:val="00A30C94"/>
    <w:rsid w:val="00A324CB"/>
    <w:rsid w:val="00A3318A"/>
    <w:rsid w:val="00A33301"/>
    <w:rsid w:val="00A407A4"/>
    <w:rsid w:val="00A4163A"/>
    <w:rsid w:val="00A41C4A"/>
    <w:rsid w:val="00A43571"/>
    <w:rsid w:val="00A4538A"/>
    <w:rsid w:val="00A53CBC"/>
    <w:rsid w:val="00A56327"/>
    <w:rsid w:val="00A57E69"/>
    <w:rsid w:val="00A61639"/>
    <w:rsid w:val="00A64143"/>
    <w:rsid w:val="00A651EE"/>
    <w:rsid w:val="00A65542"/>
    <w:rsid w:val="00A65B80"/>
    <w:rsid w:val="00A67ED3"/>
    <w:rsid w:val="00A70007"/>
    <w:rsid w:val="00A76726"/>
    <w:rsid w:val="00A80E6F"/>
    <w:rsid w:val="00A82C9E"/>
    <w:rsid w:val="00A84FC9"/>
    <w:rsid w:val="00A92454"/>
    <w:rsid w:val="00A9541C"/>
    <w:rsid w:val="00AA2662"/>
    <w:rsid w:val="00AA2C52"/>
    <w:rsid w:val="00AA3456"/>
    <w:rsid w:val="00AA392A"/>
    <w:rsid w:val="00AC0365"/>
    <w:rsid w:val="00AC2C57"/>
    <w:rsid w:val="00AC4179"/>
    <w:rsid w:val="00AC5FF0"/>
    <w:rsid w:val="00AC78D9"/>
    <w:rsid w:val="00AD2AF3"/>
    <w:rsid w:val="00AD2E3B"/>
    <w:rsid w:val="00AE747F"/>
    <w:rsid w:val="00AF2263"/>
    <w:rsid w:val="00AF2DCB"/>
    <w:rsid w:val="00AF38EA"/>
    <w:rsid w:val="00AF5118"/>
    <w:rsid w:val="00AF5CDF"/>
    <w:rsid w:val="00AF6AB9"/>
    <w:rsid w:val="00B0068C"/>
    <w:rsid w:val="00B01129"/>
    <w:rsid w:val="00B01A2D"/>
    <w:rsid w:val="00B01B8A"/>
    <w:rsid w:val="00B03A96"/>
    <w:rsid w:val="00B0487A"/>
    <w:rsid w:val="00B128C5"/>
    <w:rsid w:val="00B151E1"/>
    <w:rsid w:val="00B15F59"/>
    <w:rsid w:val="00B165E5"/>
    <w:rsid w:val="00B241C8"/>
    <w:rsid w:val="00B25939"/>
    <w:rsid w:val="00B3322F"/>
    <w:rsid w:val="00B4688A"/>
    <w:rsid w:val="00B51B7D"/>
    <w:rsid w:val="00B51F63"/>
    <w:rsid w:val="00B54306"/>
    <w:rsid w:val="00B55F45"/>
    <w:rsid w:val="00B6038D"/>
    <w:rsid w:val="00B671A0"/>
    <w:rsid w:val="00B72216"/>
    <w:rsid w:val="00B7519A"/>
    <w:rsid w:val="00B752B5"/>
    <w:rsid w:val="00B809BB"/>
    <w:rsid w:val="00B81B90"/>
    <w:rsid w:val="00B82966"/>
    <w:rsid w:val="00B87E9A"/>
    <w:rsid w:val="00B90F33"/>
    <w:rsid w:val="00B91678"/>
    <w:rsid w:val="00B919AF"/>
    <w:rsid w:val="00B936C2"/>
    <w:rsid w:val="00B95738"/>
    <w:rsid w:val="00B95A48"/>
    <w:rsid w:val="00BA0FE7"/>
    <w:rsid w:val="00BA173B"/>
    <w:rsid w:val="00BA785D"/>
    <w:rsid w:val="00BB2C5C"/>
    <w:rsid w:val="00BB2FF9"/>
    <w:rsid w:val="00BB6735"/>
    <w:rsid w:val="00BC20AC"/>
    <w:rsid w:val="00BD1AB7"/>
    <w:rsid w:val="00BD3CE2"/>
    <w:rsid w:val="00BD3E10"/>
    <w:rsid w:val="00BD6AA6"/>
    <w:rsid w:val="00BE4D16"/>
    <w:rsid w:val="00BE4E91"/>
    <w:rsid w:val="00BE7473"/>
    <w:rsid w:val="00BF49C6"/>
    <w:rsid w:val="00BF668E"/>
    <w:rsid w:val="00C11954"/>
    <w:rsid w:val="00C14830"/>
    <w:rsid w:val="00C14B5D"/>
    <w:rsid w:val="00C16046"/>
    <w:rsid w:val="00C2074A"/>
    <w:rsid w:val="00C2247B"/>
    <w:rsid w:val="00C22802"/>
    <w:rsid w:val="00C22A1F"/>
    <w:rsid w:val="00C24490"/>
    <w:rsid w:val="00C263DF"/>
    <w:rsid w:val="00C30452"/>
    <w:rsid w:val="00C30FF0"/>
    <w:rsid w:val="00C43E65"/>
    <w:rsid w:val="00C44E4F"/>
    <w:rsid w:val="00C4659F"/>
    <w:rsid w:val="00C4751A"/>
    <w:rsid w:val="00C50569"/>
    <w:rsid w:val="00C548E9"/>
    <w:rsid w:val="00C56419"/>
    <w:rsid w:val="00C6063C"/>
    <w:rsid w:val="00C60BA3"/>
    <w:rsid w:val="00C634E1"/>
    <w:rsid w:val="00C63F1E"/>
    <w:rsid w:val="00C65703"/>
    <w:rsid w:val="00C659CA"/>
    <w:rsid w:val="00C70BF5"/>
    <w:rsid w:val="00C70CA4"/>
    <w:rsid w:val="00C71CAF"/>
    <w:rsid w:val="00C74697"/>
    <w:rsid w:val="00C766B6"/>
    <w:rsid w:val="00C804F3"/>
    <w:rsid w:val="00C813EF"/>
    <w:rsid w:val="00C8261E"/>
    <w:rsid w:val="00C85F9C"/>
    <w:rsid w:val="00C962B8"/>
    <w:rsid w:val="00C972A5"/>
    <w:rsid w:val="00CA0EC4"/>
    <w:rsid w:val="00CA2A44"/>
    <w:rsid w:val="00CA78AA"/>
    <w:rsid w:val="00CB02DA"/>
    <w:rsid w:val="00CB0971"/>
    <w:rsid w:val="00CB2A1E"/>
    <w:rsid w:val="00CB39DA"/>
    <w:rsid w:val="00CB5636"/>
    <w:rsid w:val="00CC43E0"/>
    <w:rsid w:val="00CC56D9"/>
    <w:rsid w:val="00CD2A18"/>
    <w:rsid w:val="00CD6691"/>
    <w:rsid w:val="00CE2100"/>
    <w:rsid w:val="00CE3975"/>
    <w:rsid w:val="00CE4B74"/>
    <w:rsid w:val="00CE5444"/>
    <w:rsid w:val="00CE590D"/>
    <w:rsid w:val="00CE74C5"/>
    <w:rsid w:val="00CE79C4"/>
    <w:rsid w:val="00CF519A"/>
    <w:rsid w:val="00D014F7"/>
    <w:rsid w:val="00D01803"/>
    <w:rsid w:val="00D02157"/>
    <w:rsid w:val="00D067CA"/>
    <w:rsid w:val="00D06F4E"/>
    <w:rsid w:val="00D11479"/>
    <w:rsid w:val="00D11C56"/>
    <w:rsid w:val="00D146C0"/>
    <w:rsid w:val="00D16591"/>
    <w:rsid w:val="00D23483"/>
    <w:rsid w:val="00D34082"/>
    <w:rsid w:val="00D345DF"/>
    <w:rsid w:val="00D36AF1"/>
    <w:rsid w:val="00D40173"/>
    <w:rsid w:val="00D53619"/>
    <w:rsid w:val="00D54DB1"/>
    <w:rsid w:val="00D64733"/>
    <w:rsid w:val="00D75ACA"/>
    <w:rsid w:val="00D769C7"/>
    <w:rsid w:val="00D82294"/>
    <w:rsid w:val="00D82F4B"/>
    <w:rsid w:val="00D847B3"/>
    <w:rsid w:val="00D84E5F"/>
    <w:rsid w:val="00D87241"/>
    <w:rsid w:val="00D87969"/>
    <w:rsid w:val="00D9064C"/>
    <w:rsid w:val="00D93C7A"/>
    <w:rsid w:val="00D95599"/>
    <w:rsid w:val="00D97B00"/>
    <w:rsid w:val="00DA2E3B"/>
    <w:rsid w:val="00DB2A0E"/>
    <w:rsid w:val="00DB4B48"/>
    <w:rsid w:val="00DC53ED"/>
    <w:rsid w:val="00DC69F9"/>
    <w:rsid w:val="00DE186F"/>
    <w:rsid w:val="00DE2584"/>
    <w:rsid w:val="00DE3702"/>
    <w:rsid w:val="00DE4770"/>
    <w:rsid w:val="00DF0072"/>
    <w:rsid w:val="00DF1B7C"/>
    <w:rsid w:val="00DF1BBF"/>
    <w:rsid w:val="00DF27BE"/>
    <w:rsid w:val="00DF367B"/>
    <w:rsid w:val="00DF6466"/>
    <w:rsid w:val="00E07AE8"/>
    <w:rsid w:val="00E155C3"/>
    <w:rsid w:val="00E1573E"/>
    <w:rsid w:val="00E15F94"/>
    <w:rsid w:val="00E1658B"/>
    <w:rsid w:val="00E23A7D"/>
    <w:rsid w:val="00E23F26"/>
    <w:rsid w:val="00E245B8"/>
    <w:rsid w:val="00E2744F"/>
    <w:rsid w:val="00E27672"/>
    <w:rsid w:val="00E31261"/>
    <w:rsid w:val="00E33F01"/>
    <w:rsid w:val="00E35677"/>
    <w:rsid w:val="00E3630E"/>
    <w:rsid w:val="00E40B00"/>
    <w:rsid w:val="00E418E8"/>
    <w:rsid w:val="00E45467"/>
    <w:rsid w:val="00E511EC"/>
    <w:rsid w:val="00E55C90"/>
    <w:rsid w:val="00E60A5D"/>
    <w:rsid w:val="00E64FC4"/>
    <w:rsid w:val="00E65CCE"/>
    <w:rsid w:val="00E67BF3"/>
    <w:rsid w:val="00E71215"/>
    <w:rsid w:val="00E7267B"/>
    <w:rsid w:val="00E738A5"/>
    <w:rsid w:val="00E73F2F"/>
    <w:rsid w:val="00E75014"/>
    <w:rsid w:val="00E7699F"/>
    <w:rsid w:val="00E773DD"/>
    <w:rsid w:val="00E92138"/>
    <w:rsid w:val="00E92DC4"/>
    <w:rsid w:val="00E95011"/>
    <w:rsid w:val="00EA1199"/>
    <w:rsid w:val="00EA2469"/>
    <w:rsid w:val="00EA49F7"/>
    <w:rsid w:val="00EA77D2"/>
    <w:rsid w:val="00EB12AD"/>
    <w:rsid w:val="00EB163B"/>
    <w:rsid w:val="00EB2E3E"/>
    <w:rsid w:val="00EB3D0E"/>
    <w:rsid w:val="00EB5B1E"/>
    <w:rsid w:val="00EC33A8"/>
    <w:rsid w:val="00EC6472"/>
    <w:rsid w:val="00EC7543"/>
    <w:rsid w:val="00ED0778"/>
    <w:rsid w:val="00ED3569"/>
    <w:rsid w:val="00ED4BCC"/>
    <w:rsid w:val="00ED4ED5"/>
    <w:rsid w:val="00EE30B4"/>
    <w:rsid w:val="00EE4A95"/>
    <w:rsid w:val="00EE50FC"/>
    <w:rsid w:val="00EE5B9D"/>
    <w:rsid w:val="00EF05E6"/>
    <w:rsid w:val="00EF0B37"/>
    <w:rsid w:val="00EF1DDB"/>
    <w:rsid w:val="00EF3099"/>
    <w:rsid w:val="00EF68CC"/>
    <w:rsid w:val="00F02D0E"/>
    <w:rsid w:val="00F051A2"/>
    <w:rsid w:val="00F05F02"/>
    <w:rsid w:val="00F10E5E"/>
    <w:rsid w:val="00F11CBF"/>
    <w:rsid w:val="00F17A7D"/>
    <w:rsid w:val="00F22AC6"/>
    <w:rsid w:val="00F2556A"/>
    <w:rsid w:val="00F35DDF"/>
    <w:rsid w:val="00F3649F"/>
    <w:rsid w:val="00F420A0"/>
    <w:rsid w:val="00F43ABB"/>
    <w:rsid w:val="00F466C4"/>
    <w:rsid w:val="00F46BB7"/>
    <w:rsid w:val="00F55646"/>
    <w:rsid w:val="00F6023B"/>
    <w:rsid w:val="00F671C1"/>
    <w:rsid w:val="00F67EDF"/>
    <w:rsid w:val="00F73229"/>
    <w:rsid w:val="00F745F6"/>
    <w:rsid w:val="00F74C56"/>
    <w:rsid w:val="00F80086"/>
    <w:rsid w:val="00F81237"/>
    <w:rsid w:val="00F87054"/>
    <w:rsid w:val="00F91C3D"/>
    <w:rsid w:val="00F93787"/>
    <w:rsid w:val="00F95584"/>
    <w:rsid w:val="00F9673B"/>
    <w:rsid w:val="00FA251F"/>
    <w:rsid w:val="00FA26CF"/>
    <w:rsid w:val="00FA47E1"/>
    <w:rsid w:val="00FC2730"/>
    <w:rsid w:val="00FC45B3"/>
    <w:rsid w:val="00FC798F"/>
    <w:rsid w:val="00FD21E7"/>
    <w:rsid w:val="00FD2FCC"/>
    <w:rsid w:val="00FD41BC"/>
    <w:rsid w:val="00FD42A3"/>
    <w:rsid w:val="00FD481C"/>
    <w:rsid w:val="00FD4AAB"/>
    <w:rsid w:val="00FD7445"/>
    <w:rsid w:val="00FD7790"/>
    <w:rsid w:val="00FD7CD5"/>
    <w:rsid w:val="00FE667A"/>
    <w:rsid w:val="00FF0E71"/>
    <w:rsid w:val="00FF222B"/>
    <w:rsid w:val="00FF2430"/>
    <w:rsid w:val="00FF2888"/>
    <w:rsid w:val="00FF381F"/>
    <w:rsid w:val="00FF4480"/>
    <w:rsid w:val="00FF5B67"/>
    <w:rsid w:val="00FF620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AD5C"/>
  <w15:docId w15:val="{D585241F-67E6-4E3E-BD64-3CB70F73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4A28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14B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7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06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06A6"/>
    <w:rPr>
      <w:rFonts w:ascii="Tahoma" w:hAnsi="Tahoma" w:cs="Tahoma"/>
      <w:sz w:val="16"/>
      <w:szCs w:val="16"/>
    </w:rPr>
  </w:style>
  <w:style w:type="paragraph" w:customStyle="1" w:styleId="TYTUAKTUprzedmiotregulacjiustawylubrozporzdzenia">
    <w:name w:val="TYTUŁ_AKTU – przedmiot regulacji ustawy lub rozporządzenia"/>
    <w:next w:val="Normalny"/>
    <w:uiPriority w:val="6"/>
    <w:qFormat/>
    <w:rsid w:val="003706A6"/>
    <w:pPr>
      <w:keepNext/>
      <w:suppressAutoHyphens/>
      <w:spacing w:before="120" w:after="360" w:line="360" w:lineRule="auto"/>
      <w:jc w:val="center"/>
    </w:pPr>
    <w:rPr>
      <w:rFonts w:ascii="Times" w:eastAsia="Times New Roman" w:hAnsi="Times" w:cs="Arial"/>
      <w:b/>
      <w:bCs/>
      <w:sz w:val="24"/>
      <w:szCs w:val="24"/>
      <w:lang w:eastAsia="pl-PL"/>
    </w:rPr>
  </w:style>
  <w:style w:type="paragraph" w:customStyle="1" w:styleId="ARTartustawynprozporzdzenia">
    <w:name w:val="ART(§) – art. ustawy (§ np. rozporządzenia)"/>
    <w:uiPriority w:val="11"/>
    <w:qFormat/>
    <w:rsid w:val="00983A14"/>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PKTpunkt">
    <w:name w:val="PKT – punkt"/>
    <w:uiPriority w:val="13"/>
    <w:qFormat/>
    <w:rsid w:val="00983A14"/>
    <w:pPr>
      <w:spacing w:after="0" w:line="360" w:lineRule="auto"/>
      <w:ind w:left="510" w:hanging="510"/>
      <w:jc w:val="both"/>
    </w:pPr>
    <w:rPr>
      <w:rFonts w:ascii="Times" w:eastAsia="Times New Roman" w:hAnsi="Times" w:cs="Arial"/>
      <w:bCs/>
      <w:sz w:val="24"/>
      <w:szCs w:val="20"/>
      <w:lang w:eastAsia="pl-PL"/>
    </w:rPr>
  </w:style>
  <w:style w:type="character" w:styleId="Odwoaniedokomentarza">
    <w:name w:val="annotation reference"/>
    <w:uiPriority w:val="99"/>
    <w:semiHidden/>
    <w:rsid w:val="00983A14"/>
    <w:rPr>
      <w:sz w:val="16"/>
      <w:szCs w:val="16"/>
    </w:rPr>
  </w:style>
  <w:style w:type="paragraph" w:styleId="Tekstkomentarza">
    <w:name w:val="annotation text"/>
    <w:basedOn w:val="Normalny"/>
    <w:link w:val="TekstkomentarzaZnak"/>
    <w:uiPriority w:val="99"/>
    <w:rsid w:val="00983A14"/>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komentarzaZnak">
    <w:name w:val="Tekst komentarza Znak"/>
    <w:basedOn w:val="Domylnaczcionkaakapitu"/>
    <w:link w:val="Tekstkomentarza"/>
    <w:uiPriority w:val="99"/>
    <w:semiHidden/>
    <w:rsid w:val="00983A14"/>
    <w:rPr>
      <w:rFonts w:ascii="Times" w:eastAsia="Times New Roman" w:hAnsi="Times" w:cs="Times New Roman"/>
      <w:sz w:val="24"/>
      <w:szCs w:val="24"/>
      <w:lang w:eastAsia="pl-PL"/>
    </w:rPr>
  </w:style>
  <w:style w:type="character" w:customStyle="1" w:styleId="Ppogrubienie">
    <w:name w:val="_P_ – pogrubienie"/>
    <w:uiPriority w:val="1"/>
    <w:qFormat/>
    <w:rsid w:val="00983A14"/>
    <w:rPr>
      <w:b/>
    </w:rPr>
  </w:style>
  <w:style w:type="paragraph" w:styleId="Akapitzlist">
    <w:name w:val="List Paragraph"/>
    <w:basedOn w:val="Normalny"/>
    <w:uiPriority w:val="34"/>
    <w:qFormat/>
    <w:rsid w:val="00983A14"/>
    <w:pPr>
      <w:ind w:left="720"/>
      <w:contextualSpacing/>
    </w:pPr>
  </w:style>
  <w:style w:type="paragraph" w:customStyle="1" w:styleId="USTustnpkodeksu">
    <w:name w:val="UST(§) – ust. (§ np. kodeksu)"/>
    <w:basedOn w:val="ARTartustawynprozporzdzenia"/>
    <w:uiPriority w:val="12"/>
    <w:qFormat/>
    <w:rsid w:val="009A3389"/>
    <w:pPr>
      <w:spacing w:before="0"/>
    </w:pPr>
    <w:rPr>
      <w:bCs/>
    </w:rPr>
  </w:style>
  <w:style w:type="paragraph" w:styleId="Nagwek">
    <w:name w:val="header"/>
    <w:basedOn w:val="Normalny"/>
    <w:link w:val="NagwekZnak"/>
    <w:uiPriority w:val="99"/>
    <w:unhideWhenUsed/>
    <w:rsid w:val="00735A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AA5"/>
  </w:style>
  <w:style w:type="paragraph" w:styleId="Stopka">
    <w:name w:val="footer"/>
    <w:basedOn w:val="Normalny"/>
    <w:link w:val="StopkaZnak"/>
    <w:uiPriority w:val="99"/>
    <w:unhideWhenUsed/>
    <w:rsid w:val="00735A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AA5"/>
  </w:style>
  <w:style w:type="character" w:customStyle="1" w:styleId="Nagwek2Znak">
    <w:name w:val="Nagłówek 2 Znak"/>
    <w:basedOn w:val="Domylnaczcionkaakapitu"/>
    <w:link w:val="Nagwek2"/>
    <w:uiPriority w:val="9"/>
    <w:rsid w:val="004A28E0"/>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rsid w:val="00B5430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54306"/>
    <w:rPr>
      <w:rFonts w:ascii="Times New Roman" w:eastAsia="Times New Roman" w:hAnsi="Times New Roman" w:cs="Times New Roman"/>
      <w:sz w:val="20"/>
      <w:szCs w:val="20"/>
      <w:lang w:eastAsia="pl-PL"/>
    </w:rPr>
  </w:style>
  <w:style w:type="character" w:styleId="Odwoanieprzypisudolnego">
    <w:name w:val="footnote reference"/>
    <w:aliases w:val="FZ"/>
    <w:rsid w:val="00B54306"/>
    <w:rPr>
      <w:vertAlign w:val="superscript"/>
    </w:rPr>
  </w:style>
  <w:style w:type="character" w:styleId="Hipercze">
    <w:name w:val="Hyperlink"/>
    <w:basedOn w:val="Domylnaczcionkaakapitu"/>
    <w:uiPriority w:val="99"/>
    <w:unhideWhenUsed/>
    <w:rsid w:val="009B5AD3"/>
    <w:rPr>
      <w:color w:val="0000FF"/>
      <w:u w:val="single"/>
    </w:rPr>
  </w:style>
  <w:style w:type="paragraph" w:styleId="Poprawka">
    <w:name w:val="Revision"/>
    <w:hidden/>
    <w:uiPriority w:val="99"/>
    <w:semiHidden/>
    <w:rsid w:val="00CB0971"/>
    <w:pPr>
      <w:spacing w:after="0" w:line="240" w:lineRule="auto"/>
    </w:pPr>
  </w:style>
  <w:style w:type="paragraph" w:customStyle="1" w:styleId="Style7">
    <w:name w:val="Style7"/>
    <w:basedOn w:val="Normalny"/>
    <w:uiPriority w:val="99"/>
    <w:rsid w:val="00170E91"/>
    <w:pPr>
      <w:widowControl w:val="0"/>
      <w:autoSpaceDE w:val="0"/>
      <w:autoSpaceDN w:val="0"/>
      <w:adjustRightInd w:val="0"/>
      <w:spacing w:after="0" w:line="418" w:lineRule="exact"/>
      <w:ind w:firstLine="713"/>
      <w:jc w:val="both"/>
    </w:pPr>
    <w:rPr>
      <w:rFonts w:ascii="Times New Roman" w:eastAsiaTheme="minorEastAsia" w:hAnsi="Times New Roman" w:cs="Times New Roman"/>
      <w:sz w:val="24"/>
      <w:szCs w:val="24"/>
      <w:lang w:eastAsia="pl-PL"/>
    </w:rPr>
  </w:style>
  <w:style w:type="character" w:customStyle="1" w:styleId="FontStyle16">
    <w:name w:val="Font Style16"/>
    <w:basedOn w:val="Domylnaczcionkaakapitu"/>
    <w:uiPriority w:val="99"/>
    <w:rsid w:val="00170E91"/>
    <w:rPr>
      <w:rFonts w:ascii="Times New Roman" w:hAnsi="Times New Roman" w:cs="Times New Roman"/>
      <w:sz w:val="22"/>
      <w:szCs w:val="22"/>
    </w:rPr>
  </w:style>
  <w:style w:type="character" w:customStyle="1" w:styleId="FontStyle20">
    <w:name w:val="Font Style20"/>
    <w:basedOn w:val="Domylnaczcionkaakapitu"/>
    <w:uiPriority w:val="99"/>
    <w:rsid w:val="00170E91"/>
    <w:rPr>
      <w:rFonts w:ascii="Times New Roman" w:hAnsi="Times New Roman" w:cs="Times New Roman"/>
      <w:smallCaps/>
      <w:sz w:val="22"/>
      <w:szCs w:val="22"/>
    </w:rPr>
  </w:style>
  <w:style w:type="paragraph" w:styleId="Tematkomentarza">
    <w:name w:val="annotation subject"/>
    <w:basedOn w:val="Tekstkomentarza"/>
    <w:next w:val="Tekstkomentarza"/>
    <w:link w:val="TematkomentarzaZnak"/>
    <w:uiPriority w:val="99"/>
    <w:semiHidden/>
    <w:unhideWhenUsed/>
    <w:rsid w:val="00A43571"/>
    <w:pPr>
      <w:widowControl/>
      <w:autoSpaceDE/>
      <w:autoSpaceDN/>
      <w:adjustRightInd/>
      <w:spacing w:after="200" w:line="240" w:lineRule="auto"/>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A43571"/>
    <w:rPr>
      <w:rFonts w:ascii="Times" w:eastAsia="Times New Roman" w:hAnsi="Times" w:cs="Times New Roman"/>
      <w:b/>
      <w:bCs/>
      <w:sz w:val="20"/>
      <w:szCs w:val="20"/>
      <w:lang w:eastAsia="pl-PL"/>
    </w:rPr>
  </w:style>
  <w:style w:type="character" w:styleId="Nierozpoznanawzmianka">
    <w:name w:val="Unresolved Mention"/>
    <w:basedOn w:val="Domylnaczcionkaakapitu"/>
    <w:uiPriority w:val="99"/>
    <w:semiHidden/>
    <w:unhideWhenUsed/>
    <w:rsid w:val="00C74697"/>
    <w:rPr>
      <w:color w:val="605E5C"/>
      <w:shd w:val="clear" w:color="auto" w:fill="E1DFDD"/>
    </w:rPr>
  </w:style>
  <w:style w:type="character" w:customStyle="1" w:styleId="Nagwek3Znak">
    <w:name w:val="Nagłówek 3 Znak"/>
    <w:basedOn w:val="Domylnaczcionkaakapitu"/>
    <w:link w:val="Nagwek3"/>
    <w:uiPriority w:val="9"/>
    <w:rsid w:val="00214B10"/>
    <w:rPr>
      <w:rFonts w:asciiTheme="majorHAnsi" w:eastAsiaTheme="majorEastAsia" w:hAnsiTheme="majorHAnsi" w:cstheme="majorBidi"/>
      <w:color w:val="243F60" w:themeColor="accent1" w:themeShade="7F"/>
      <w:sz w:val="24"/>
      <w:szCs w:val="24"/>
    </w:rPr>
  </w:style>
  <w:style w:type="paragraph" w:styleId="Tekstprzypisukocowego">
    <w:name w:val="endnote text"/>
    <w:basedOn w:val="Normalny"/>
    <w:link w:val="TekstprzypisukocowegoZnak"/>
    <w:uiPriority w:val="99"/>
    <w:semiHidden/>
    <w:unhideWhenUsed/>
    <w:rsid w:val="008A6B5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A6B5E"/>
    <w:rPr>
      <w:sz w:val="20"/>
      <w:szCs w:val="20"/>
    </w:rPr>
  </w:style>
  <w:style w:type="character" w:styleId="Odwoanieprzypisukocowego">
    <w:name w:val="endnote reference"/>
    <w:basedOn w:val="Domylnaczcionkaakapitu"/>
    <w:uiPriority w:val="99"/>
    <w:semiHidden/>
    <w:unhideWhenUsed/>
    <w:rsid w:val="008A6B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1838">
      <w:bodyDiv w:val="1"/>
      <w:marLeft w:val="0"/>
      <w:marRight w:val="0"/>
      <w:marTop w:val="0"/>
      <w:marBottom w:val="0"/>
      <w:divBdr>
        <w:top w:val="none" w:sz="0" w:space="0" w:color="auto"/>
        <w:left w:val="none" w:sz="0" w:space="0" w:color="auto"/>
        <w:bottom w:val="none" w:sz="0" w:space="0" w:color="auto"/>
        <w:right w:val="none" w:sz="0" w:space="0" w:color="auto"/>
      </w:divBdr>
      <w:divsChild>
        <w:div w:id="260573138">
          <w:marLeft w:val="0"/>
          <w:marRight w:val="0"/>
          <w:marTop w:val="72"/>
          <w:marBottom w:val="0"/>
          <w:divBdr>
            <w:top w:val="none" w:sz="0" w:space="0" w:color="auto"/>
            <w:left w:val="none" w:sz="0" w:space="0" w:color="auto"/>
            <w:bottom w:val="none" w:sz="0" w:space="0" w:color="auto"/>
            <w:right w:val="none" w:sz="0" w:space="0" w:color="auto"/>
          </w:divBdr>
          <w:divsChild>
            <w:div w:id="12318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9982">
      <w:bodyDiv w:val="1"/>
      <w:marLeft w:val="0"/>
      <w:marRight w:val="0"/>
      <w:marTop w:val="0"/>
      <w:marBottom w:val="0"/>
      <w:divBdr>
        <w:top w:val="none" w:sz="0" w:space="0" w:color="auto"/>
        <w:left w:val="none" w:sz="0" w:space="0" w:color="auto"/>
        <w:bottom w:val="none" w:sz="0" w:space="0" w:color="auto"/>
        <w:right w:val="none" w:sz="0" w:space="0" w:color="auto"/>
      </w:divBdr>
    </w:div>
    <w:div w:id="205140463">
      <w:bodyDiv w:val="1"/>
      <w:marLeft w:val="0"/>
      <w:marRight w:val="0"/>
      <w:marTop w:val="0"/>
      <w:marBottom w:val="0"/>
      <w:divBdr>
        <w:top w:val="none" w:sz="0" w:space="0" w:color="auto"/>
        <w:left w:val="none" w:sz="0" w:space="0" w:color="auto"/>
        <w:bottom w:val="none" w:sz="0" w:space="0" w:color="auto"/>
        <w:right w:val="none" w:sz="0" w:space="0" w:color="auto"/>
      </w:divBdr>
    </w:div>
    <w:div w:id="211353989">
      <w:bodyDiv w:val="1"/>
      <w:marLeft w:val="0"/>
      <w:marRight w:val="0"/>
      <w:marTop w:val="0"/>
      <w:marBottom w:val="0"/>
      <w:divBdr>
        <w:top w:val="none" w:sz="0" w:space="0" w:color="auto"/>
        <w:left w:val="none" w:sz="0" w:space="0" w:color="auto"/>
        <w:bottom w:val="none" w:sz="0" w:space="0" w:color="auto"/>
        <w:right w:val="none" w:sz="0" w:space="0" w:color="auto"/>
      </w:divBdr>
    </w:div>
    <w:div w:id="270548825">
      <w:bodyDiv w:val="1"/>
      <w:marLeft w:val="0"/>
      <w:marRight w:val="0"/>
      <w:marTop w:val="0"/>
      <w:marBottom w:val="0"/>
      <w:divBdr>
        <w:top w:val="none" w:sz="0" w:space="0" w:color="auto"/>
        <w:left w:val="none" w:sz="0" w:space="0" w:color="auto"/>
        <w:bottom w:val="none" w:sz="0" w:space="0" w:color="auto"/>
        <w:right w:val="none" w:sz="0" w:space="0" w:color="auto"/>
      </w:divBdr>
      <w:divsChild>
        <w:div w:id="966855024">
          <w:marLeft w:val="0"/>
          <w:marRight w:val="0"/>
          <w:marTop w:val="72"/>
          <w:marBottom w:val="0"/>
          <w:divBdr>
            <w:top w:val="none" w:sz="0" w:space="0" w:color="auto"/>
            <w:left w:val="none" w:sz="0" w:space="0" w:color="auto"/>
            <w:bottom w:val="none" w:sz="0" w:space="0" w:color="auto"/>
            <w:right w:val="none" w:sz="0" w:space="0" w:color="auto"/>
          </w:divBdr>
          <w:divsChild>
            <w:div w:id="298993114">
              <w:marLeft w:val="0"/>
              <w:marRight w:val="0"/>
              <w:marTop w:val="0"/>
              <w:marBottom w:val="0"/>
              <w:divBdr>
                <w:top w:val="none" w:sz="0" w:space="0" w:color="auto"/>
                <w:left w:val="none" w:sz="0" w:space="0" w:color="auto"/>
                <w:bottom w:val="none" w:sz="0" w:space="0" w:color="auto"/>
                <w:right w:val="none" w:sz="0" w:space="0" w:color="auto"/>
              </w:divBdr>
            </w:div>
            <w:div w:id="1188330341">
              <w:marLeft w:val="360"/>
              <w:marRight w:val="0"/>
              <w:marTop w:val="72"/>
              <w:marBottom w:val="72"/>
              <w:divBdr>
                <w:top w:val="none" w:sz="0" w:space="0" w:color="auto"/>
                <w:left w:val="none" w:sz="0" w:space="0" w:color="auto"/>
                <w:bottom w:val="none" w:sz="0" w:space="0" w:color="auto"/>
                <w:right w:val="none" w:sz="0" w:space="0" w:color="auto"/>
              </w:divBdr>
              <w:divsChild>
                <w:div w:id="1599438051">
                  <w:marLeft w:val="0"/>
                  <w:marRight w:val="0"/>
                  <w:marTop w:val="0"/>
                  <w:marBottom w:val="0"/>
                  <w:divBdr>
                    <w:top w:val="none" w:sz="0" w:space="0" w:color="auto"/>
                    <w:left w:val="none" w:sz="0" w:space="0" w:color="auto"/>
                    <w:bottom w:val="none" w:sz="0" w:space="0" w:color="auto"/>
                    <w:right w:val="none" w:sz="0" w:space="0" w:color="auto"/>
                  </w:divBdr>
                </w:div>
              </w:divsChild>
            </w:div>
            <w:div w:id="914894520">
              <w:marLeft w:val="360"/>
              <w:marRight w:val="0"/>
              <w:marTop w:val="72"/>
              <w:marBottom w:val="72"/>
              <w:divBdr>
                <w:top w:val="none" w:sz="0" w:space="0" w:color="auto"/>
                <w:left w:val="none" w:sz="0" w:space="0" w:color="auto"/>
                <w:bottom w:val="none" w:sz="0" w:space="0" w:color="auto"/>
                <w:right w:val="none" w:sz="0" w:space="0" w:color="auto"/>
              </w:divBdr>
              <w:divsChild>
                <w:div w:id="2091081469">
                  <w:marLeft w:val="0"/>
                  <w:marRight w:val="0"/>
                  <w:marTop w:val="0"/>
                  <w:marBottom w:val="0"/>
                  <w:divBdr>
                    <w:top w:val="none" w:sz="0" w:space="0" w:color="auto"/>
                    <w:left w:val="none" w:sz="0" w:space="0" w:color="auto"/>
                    <w:bottom w:val="none" w:sz="0" w:space="0" w:color="auto"/>
                    <w:right w:val="none" w:sz="0" w:space="0" w:color="auto"/>
                  </w:divBdr>
                </w:div>
              </w:divsChild>
            </w:div>
            <w:div w:id="2055566">
              <w:marLeft w:val="360"/>
              <w:marRight w:val="0"/>
              <w:marTop w:val="72"/>
              <w:marBottom w:val="72"/>
              <w:divBdr>
                <w:top w:val="none" w:sz="0" w:space="0" w:color="auto"/>
                <w:left w:val="none" w:sz="0" w:space="0" w:color="auto"/>
                <w:bottom w:val="none" w:sz="0" w:space="0" w:color="auto"/>
                <w:right w:val="none" w:sz="0" w:space="0" w:color="auto"/>
              </w:divBdr>
              <w:divsChild>
                <w:div w:id="1549222927">
                  <w:marLeft w:val="0"/>
                  <w:marRight w:val="0"/>
                  <w:marTop w:val="0"/>
                  <w:marBottom w:val="0"/>
                  <w:divBdr>
                    <w:top w:val="none" w:sz="0" w:space="0" w:color="auto"/>
                    <w:left w:val="none" w:sz="0" w:space="0" w:color="auto"/>
                    <w:bottom w:val="none" w:sz="0" w:space="0" w:color="auto"/>
                    <w:right w:val="none" w:sz="0" w:space="0" w:color="auto"/>
                  </w:divBdr>
                </w:div>
              </w:divsChild>
            </w:div>
            <w:div w:id="777139827">
              <w:marLeft w:val="360"/>
              <w:marRight w:val="0"/>
              <w:marTop w:val="72"/>
              <w:marBottom w:val="72"/>
              <w:divBdr>
                <w:top w:val="none" w:sz="0" w:space="0" w:color="auto"/>
                <w:left w:val="none" w:sz="0" w:space="0" w:color="auto"/>
                <w:bottom w:val="none" w:sz="0" w:space="0" w:color="auto"/>
                <w:right w:val="none" w:sz="0" w:space="0" w:color="auto"/>
              </w:divBdr>
              <w:divsChild>
                <w:div w:id="1173495818">
                  <w:marLeft w:val="0"/>
                  <w:marRight w:val="0"/>
                  <w:marTop w:val="0"/>
                  <w:marBottom w:val="0"/>
                  <w:divBdr>
                    <w:top w:val="none" w:sz="0" w:space="0" w:color="auto"/>
                    <w:left w:val="none" w:sz="0" w:space="0" w:color="auto"/>
                    <w:bottom w:val="none" w:sz="0" w:space="0" w:color="auto"/>
                    <w:right w:val="none" w:sz="0" w:space="0" w:color="auto"/>
                  </w:divBdr>
                </w:div>
              </w:divsChild>
            </w:div>
            <w:div w:id="589511277">
              <w:marLeft w:val="360"/>
              <w:marRight w:val="0"/>
              <w:marTop w:val="72"/>
              <w:marBottom w:val="72"/>
              <w:divBdr>
                <w:top w:val="none" w:sz="0" w:space="0" w:color="auto"/>
                <w:left w:val="none" w:sz="0" w:space="0" w:color="auto"/>
                <w:bottom w:val="none" w:sz="0" w:space="0" w:color="auto"/>
                <w:right w:val="none" w:sz="0" w:space="0" w:color="auto"/>
              </w:divBdr>
              <w:divsChild>
                <w:div w:id="1732147066">
                  <w:marLeft w:val="0"/>
                  <w:marRight w:val="0"/>
                  <w:marTop w:val="0"/>
                  <w:marBottom w:val="0"/>
                  <w:divBdr>
                    <w:top w:val="none" w:sz="0" w:space="0" w:color="auto"/>
                    <w:left w:val="none" w:sz="0" w:space="0" w:color="auto"/>
                    <w:bottom w:val="none" w:sz="0" w:space="0" w:color="auto"/>
                    <w:right w:val="none" w:sz="0" w:space="0" w:color="auto"/>
                  </w:divBdr>
                </w:div>
              </w:divsChild>
            </w:div>
            <w:div w:id="2045983218">
              <w:marLeft w:val="360"/>
              <w:marRight w:val="0"/>
              <w:marTop w:val="72"/>
              <w:marBottom w:val="72"/>
              <w:divBdr>
                <w:top w:val="none" w:sz="0" w:space="0" w:color="auto"/>
                <w:left w:val="none" w:sz="0" w:space="0" w:color="auto"/>
                <w:bottom w:val="none" w:sz="0" w:space="0" w:color="auto"/>
                <w:right w:val="none" w:sz="0" w:space="0" w:color="auto"/>
              </w:divBdr>
              <w:divsChild>
                <w:div w:id="60252053">
                  <w:marLeft w:val="0"/>
                  <w:marRight w:val="0"/>
                  <w:marTop w:val="0"/>
                  <w:marBottom w:val="0"/>
                  <w:divBdr>
                    <w:top w:val="none" w:sz="0" w:space="0" w:color="auto"/>
                    <w:left w:val="none" w:sz="0" w:space="0" w:color="auto"/>
                    <w:bottom w:val="none" w:sz="0" w:space="0" w:color="auto"/>
                    <w:right w:val="none" w:sz="0" w:space="0" w:color="auto"/>
                  </w:divBdr>
                </w:div>
              </w:divsChild>
            </w:div>
            <w:div w:id="1312102820">
              <w:marLeft w:val="360"/>
              <w:marRight w:val="0"/>
              <w:marTop w:val="72"/>
              <w:marBottom w:val="72"/>
              <w:divBdr>
                <w:top w:val="none" w:sz="0" w:space="0" w:color="auto"/>
                <w:left w:val="none" w:sz="0" w:space="0" w:color="auto"/>
                <w:bottom w:val="none" w:sz="0" w:space="0" w:color="auto"/>
                <w:right w:val="none" w:sz="0" w:space="0" w:color="auto"/>
              </w:divBdr>
              <w:divsChild>
                <w:div w:id="91053258">
                  <w:marLeft w:val="0"/>
                  <w:marRight w:val="0"/>
                  <w:marTop w:val="0"/>
                  <w:marBottom w:val="0"/>
                  <w:divBdr>
                    <w:top w:val="none" w:sz="0" w:space="0" w:color="auto"/>
                    <w:left w:val="none" w:sz="0" w:space="0" w:color="auto"/>
                    <w:bottom w:val="none" w:sz="0" w:space="0" w:color="auto"/>
                    <w:right w:val="none" w:sz="0" w:space="0" w:color="auto"/>
                  </w:divBdr>
                </w:div>
              </w:divsChild>
            </w:div>
            <w:div w:id="1491827115">
              <w:marLeft w:val="360"/>
              <w:marRight w:val="0"/>
              <w:marTop w:val="72"/>
              <w:marBottom w:val="72"/>
              <w:divBdr>
                <w:top w:val="none" w:sz="0" w:space="0" w:color="auto"/>
                <w:left w:val="none" w:sz="0" w:space="0" w:color="auto"/>
                <w:bottom w:val="none" w:sz="0" w:space="0" w:color="auto"/>
                <w:right w:val="none" w:sz="0" w:space="0" w:color="auto"/>
              </w:divBdr>
              <w:divsChild>
                <w:div w:id="9874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68417">
      <w:bodyDiv w:val="1"/>
      <w:marLeft w:val="0"/>
      <w:marRight w:val="0"/>
      <w:marTop w:val="0"/>
      <w:marBottom w:val="0"/>
      <w:divBdr>
        <w:top w:val="none" w:sz="0" w:space="0" w:color="auto"/>
        <w:left w:val="none" w:sz="0" w:space="0" w:color="auto"/>
        <w:bottom w:val="none" w:sz="0" w:space="0" w:color="auto"/>
        <w:right w:val="none" w:sz="0" w:space="0" w:color="auto"/>
      </w:divBdr>
    </w:div>
    <w:div w:id="334309265">
      <w:bodyDiv w:val="1"/>
      <w:marLeft w:val="0"/>
      <w:marRight w:val="0"/>
      <w:marTop w:val="0"/>
      <w:marBottom w:val="0"/>
      <w:divBdr>
        <w:top w:val="none" w:sz="0" w:space="0" w:color="auto"/>
        <w:left w:val="none" w:sz="0" w:space="0" w:color="auto"/>
        <w:bottom w:val="none" w:sz="0" w:space="0" w:color="auto"/>
        <w:right w:val="none" w:sz="0" w:space="0" w:color="auto"/>
      </w:divBdr>
      <w:divsChild>
        <w:div w:id="1077090930">
          <w:marLeft w:val="0"/>
          <w:marRight w:val="0"/>
          <w:marTop w:val="72"/>
          <w:marBottom w:val="0"/>
          <w:divBdr>
            <w:top w:val="none" w:sz="0" w:space="0" w:color="auto"/>
            <w:left w:val="none" w:sz="0" w:space="0" w:color="auto"/>
            <w:bottom w:val="none" w:sz="0" w:space="0" w:color="auto"/>
            <w:right w:val="none" w:sz="0" w:space="0" w:color="auto"/>
          </w:divBdr>
          <w:divsChild>
            <w:div w:id="112396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56157">
      <w:bodyDiv w:val="1"/>
      <w:marLeft w:val="0"/>
      <w:marRight w:val="0"/>
      <w:marTop w:val="0"/>
      <w:marBottom w:val="0"/>
      <w:divBdr>
        <w:top w:val="none" w:sz="0" w:space="0" w:color="auto"/>
        <w:left w:val="none" w:sz="0" w:space="0" w:color="auto"/>
        <w:bottom w:val="none" w:sz="0" w:space="0" w:color="auto"/>
        <w:right w:val="none" w:sz="0" w:space="0" w:color="auto"/>
      </w:divBdr>
    </w:div>
    <w:div w:id="365761579">
      <w:bodyDiv w:val="1"/>
      <w:marLeft w:val="0"/>
      <w:marRight w:val="0"/>
      <w:marTop w:val="0"/>
      <w:marBottom w:val="0"/>
      <w:divBdr>
        <w:top w:val="none" w:sz="0" w:space="0" w:color="auto"/>
        <w:left w:val="none" w:sz="0" w:space="0" w:color="auto"/>
        <w:bottom w:val="none" w:sz="0" w:space="0" w:color="auto"/>
        <w:right w:val="none" w:sz="0" w:space="0" w:color="auto"/>
      </w:divBdr>
    </w:div>
    <w:div w:id="440145419">
      <w:bodyDiv w:val="1"/>
      <w:marLeft w:val="0"/>
      <w:marRight w:val="0"/>
      <w:marTop w:val="0"/>
      <w:marBottom w:val="0"/>
      <w:divBdr>
        <w:top w:val="none" w:sz="0" w:space="0" w:color="auto"/>
        <w:left w:val="none" w:sz="0" w:space="0" w:color="auto"/>
        <w:bottom w:val="none" w:sz="0" w:space="0" w:color="auto"/>
        <w:right w:val="none" w:sz="0" w:space="0" w:color="auto"/>
      </w:divBdr>
    </w:div>
    <w:div w:id="489368069">
      <w:bodyDiv w:val="1"/>
      <w:marLeft w:val="0"/>
      <w:marRight w:val="0"/>
      <w:marTop w:val="0"/>
      <w:marBottom w:val="0"/>
      <w:divBdr>
        <w:top w:val="none" w:sz="0" w:space="0" w:color="auto"/>
        <w:left w:val="none" w:sz="0" w:space="0" w:color="auto"/>
        <w:bottom w:val="none" w:sz="0" w:space="0" w:color="auto"/>
        <w:right w:val="none" w:sz="0" w:space="0" w:color="auto"/>
      </w:divBdr>
    </w:div>
    <w:div w:id="499393872">
      <w:bodyDiv w:val="1"/>
      <w:marLeft w:val="0"/>
      <w:marRight w:val="0"/>
      <w:marTop w:val="0"/>
      <w:marBottom w:val="0"/>
      <w:divBdr>
        <w:top w:val="none" w:sz="0" w:space="0" w:color="auto"/>
        <w:left w:val="none" w:sz="0" w:space="0" w:color="auto"/>
        <w:bottom w:val="none" w:sz="0" w:space="0" w:color="auto"/>
        <w:right w:val="none" w:sz="0" w:space="0" w:color="auto"/>
      </w:divBdr>
    </w:div>
    <w:div w:id="501361030">
      <w:bodyDiv w:val="1"/>
      <w:marLeft w:val="0"/>
      <w:marRight w:val="0"/>
      <w:marTop w:val="0"/>
      <w:marBottom w:val="0"/>
      <w:divBdr>
        <w:top w:val="none" w:sz="0" w:space="0" w:color="auto"/>
        <w:left w:val="none" w:sz="0" w:space="0" w:color="auto"/>
        <w:bottom w:val="none" w:sz="0" w:space="0" w:color="auto"/>
        <w:right w:val="none" w:sz="0" w:space="0" w:color="auto"/>
      </w:divBdr>
    </w:div>
    <w:div w:id="504831873">
      <w:bodyDiv w:val="1"/>
      <w:marLeft w:val="0"/>
      <w:marRight w:val="0"/>
      <w:marTop w:val="0"/>
      <w:marBottom w:val="0"/>
      <w:divBdr>
        <w:top w:val="none" w:sz="0" w:space="0" w:color="auto"/>
        <w:left w:val="none" w:sz="0" w:space="0" w:color="auto"/>
        <w:bottom w:val="none" w:sz="0" w:space="0" w:color="auto"/>
        <w:right w:val="none" w:sz="0" w:space="0" w:color="auto"/>
      </w:divBdr>
    </w:div>
    <w:div w:id="602298814">
      <w:bodyDiv w:val="1"/>
      <w:marLeft w:val="0"/>
      <w:marRight w:val="0"/>
      <w:marTop w:val="0"/>
      <w:marBottom w:val="0"/>
      <w:divBdr>
        <w:top w:val="none" w:sz="0" w:space="0" w:color="auto"/>
        <w:left w:val="none" w:sz="0" w:space="0" w:color="auto"/>
        <w:bottom w:val="none" w:sz="0" w:space="0" w:color="auto"/>
        <w:right w:val="none" w:sz="0" w:space="0" w:color="auto"/>
      </w:divBdr>
    </w:div>
    <w:div w:id="605192064">
      <w:bodyDiv w:val="1"/>
      <w:marLeft w:val="0"/>
      <w:marRight w:val="0"/>
      <w:marTop w:val="0"/>
      <w:marBottom w:val="0"/>
      <w:divBdr>
        <w:top w:val="none" w:sz="0" w:space="0" w:color="auto"/>
        <w:left w:val="none" w:sz="0" w:space="0" w:color="auto"/>
        <w:bottom w:val="none" w:sz="0" w:space="0" w:color="auto"/>
        <w:right w:val="none" w:sz="0" w:space="0" w:color="auto"/>
      </w:divBdr>
    </w:div>
    <w:div w:id="621884763">
      <w:bodyDiv w:val="1"/>
      <w:marLeft w:val="0"/>
      <w:marRight w:val="0"/>
      <w:marTop w:val="0"/>
      <w:marBottom w:val="0"/>
      <w:divBdr>
        <w:top w:val="none" w:sz="0" w:space="0" w:color="auto"/>
        <w:left w:val="none" w:sz="0" w:space="0" w:color="auto"/>
        <w:bottom w:val="none" w:sz="0" w:space="0" w:color="auto"/>
        <w:right w:val="none" w:sz="0" w:space="0" w:color="auto"/>
      </w:divBdr>
    </w:div>
    <w:div w:id="766391281">
      <w:bodyDiv w:val="1"/>
      <w:marLeft w:val="0"/>
      <w:marRight w:val="0"/>
      <w:marTop w:val="0"/>
      <w:marBottom w:val="0"/>
      <w:divBdr>
        <w:top w:val="none" w:sz="0" w:space="0" w:color="auto"/>
        <w:left w:val="none" w:sz="0" w:space="0" w:color="auto"/>
        <w:bottom w:val="none" w:sz="0" w:space="0" w:color="auto"/>
        <w:right w:val="none" w:sz="0" w:space="0" w:color="auto"/>
      </w:divBdr>
      <w:divsChild>
        <w:div w:id="1118719917">
          <w:marLeft w:val="0"/>
          <w:marRight w:val="0"/>
          <w:marTop w:val="72"/>
          <w:marBottom w:val="0"/>
          <w:divBdr>
            <w:top w:val="none" w:sz="0" w:space="0" w:color="auto"/>
            <w:left w:val="none" w:sz="0" w:space="0" w:color="auto"/>
            <w:bottom w:val="none" w:sz="0" w:space="0" w:color="auto"/>
            <w:right w:val="none" w:sz="0" w:space="0" w:color="auto"/>
          </w:divBdr>
          <w:divsChild>
            <w:div w:id="31923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955012">
      <w:bodyDiv w:val="1"/>
      <w:marLeft w:val="0"/>
      <w:marRight w:val="0"/>
      <w:marTop w:val="0"/>
      <w:marBottom w:val="0"/>
      <w:divBdr>
        <w:top w:val="none" w:sz="0" w:space="0" w:color="auto"/>
        <w:left w:val="none" w:sz="0" w:space="0" w:color="auto"/>
        <w:bottom w:val="none" w:sz="0" w:space="0" w:color="auto"/>
        <w:right w:val="none" w:sz="0" w:space="0" w:color="auto"/>
      </w:divBdr>
    </w:div>
    <w:div w:id="925267230">
      <w:bodyDiv w:val="1"/>
      <w:marLeft w:val="0"/>
      <w:marRight w:val="0"/>
      <w:marTop w:val="0"/>
      <w:marBottom w:val="0"/>
      <w:divBdr>
        <w:top w:val="none" w:sz="0" w:space="0" w:color="auto"/>
        <w:left w:val="none" w:sz="0" w:space="0" w:color="auto"/>
        <w:bottom w:val="none" w:sz="0" w:space="0" w:color="auto"/>
        <w:right w:val="none" w:sz="0" w:space="0" w:color="auto"/>
      </w:divBdr>
    </w:div>
    <w:div w:id="926502793">
      <w:bodyDiv w:val="1"/>
      <w:marLeft w:val="0"/>
      <w:marRight w:val="0"/>
      <w:marTop w:val="0"/>
      <w:marBottom w:val="0"/>
      <w:divBdr>
        <w:top w:val="none" w:sz="0" w:space="0" w:color="auto"/>
        <w:left w:val="none" w:sz="0" w:space="0" w:color="auto"/>
        <w:bottom w:val="none" w:sz="0" w:space="0" w:color="auto"/>
        <w:right w:val="none" w:sz="0" w:space="0" w:color="auto"/>
      </w:divBdr>
    </w:div>
    <w:div w:id="1045763566">
      <w:bodyDiv w:val="1"/>
      <w:marLeft w:val="0"/>
      <w:marRight w:val="0"/>
      <w:marTop w:val="0"/>
      <w:marBottom w:val="0"/>
      <w:divBdr>
        <w:top w:val="none" w:sz="0" w:space="0" w:color="auto"/>
        <w:left w:val="none" w:sz="0" w:space="0" w:color="auto"/>
        <w:bottom w:val="none" w:sz="0" w:space="0" w:color="auto"/>
        <w:right w:val="none" w:sz="0" w:space="0" w:color="auto"/>
      </w:divBdr>
    </w:div>
    <w:div w:id="1059135076">
      <w:bodyDiv w:val="1"/>
      <w:marLeft w:val="0"/>
      <w:marRight w:val="0"/>
      <w:marTop w:val="0"/>
      <w:marBottom w:val="0"/>
      <w:divBdr>
        <w:top w:val="none" w:sz="0" w:space="0" w:color="auto"/>
        <w:left w:val="none" w:sz="0" w:space="0" w:color="auto"/>
        <w:bottom w:val="none" w:sz="0" w:space="0" w:color="auto"/>
        <w:right w:val="none" w:sz="0" w:space="0" w:color="auto"/>
      </w:divBdr>
    </w:div>
    <w:div w:id="1118183830">
      <w:bodyDiv w:val="1"/>
      <w:marLeft w:val="0"/>
      <w:marRight w:val="0"/>
      <w:marTop w:val="0"/>
      <w:marBottom w:val="0"/>
      <w:divBdr>
        <w:top w:val="none" w:sz="0" w:space="0" w:color="auto"/>
        <w:left w:val="none" w:sz="0" w:space="0" w:color="auto"/>
        <w:bottom w:val="none" w:sz="0" w:space="0" w:color="auto"/>
        <w:right w:val="none" w:sz="0" w:space="0" w:color="auto"/>
      </w:divBdr>
    </w:div>
    <w:div w:id="1144196439">
      <w:bodyDiv w:val="1"/>
      <w:marLeft w:val="0"/>
      <w:marRight w:val="0"/>
      <w:marTop w:val="0"/>
      <w:marBottom w:val="0"/>
      <w:divBdr>
        <w:top w:val="none" w:sz="0" w:space="0" w:color="auto"/>
        <w:left w:val="none" w:sz="0" w:space="0" w:color="auto"/>
        <w:bottom w:val="none" w:sz="0" w:space="0" w:color="auto"/>
        <w:right w:val="none" w:sz="0" w:space="0" w:color="auto"/>
      </w:divBdr>
    </w:div>
    <w:div w:id="1147090389">
      <w:bodyDiv w:val="1"/>
      <w:marLeft w:val="0"/>
      <w:marRight w:val="0"/>
      <w:marTop w:val="0"/>
      <w:marBottom w:val="0"/>
      <w:divBdr>
        <w:top w:val="none" w:sz="0" w:space="0" w:color="auto"/>
        <w:left w:val="none" w:sz="0" w:space="0" w:color="auto"/>
        <w:bottom w:val="none" w:sz="0" w:space="0" w:color="auto"/>
        <w:right w:val="none" w:sz="0" w:space="0" w:color="auto"/>
      </w:divBdr>
      <w:divsChild>
        <w:div w:id="1425422478">
          <w:marLeft w:val="0"/>
          <w:marRight w:val="0"/>
          <w:marTop w:val="72"/>
          <w:marBottom w:val="0"/>
          <w:divBdr>
            <w:top w:val="none" w:sz="0" w:space="0" w:color="auto"/>
            <w:left w:val="none" w:sz="0" w:space="0" w:color="auto"/>
            <w:bottom w:val="none" w:sz="0" w:space="0" w:color="auto"/>
            <w:right w:val="none" w:sz="0" w:space="0" w:color="auto"/>
          </w:divBdr>
          <w:divsChild>
            <w:div w:id="88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93793">
      <w:bodyDiv w:val="1"/>
      <w:marLeft w:val="0"/>
      <w:marRight w:val="0"/>
      <w:marTop w:val="0"/>
      <w:marBottom w:val="0"/>
      <w:divBdr>
        <w:top w:val="none" w:sz="0" w:space="0" w:color="auto"/>
        <w:left w:val="none" w:sz="0" w:space="0" w:color="auto"/>
        <w:bottom w:val="none" w:sz="0" w:space="0" w:color="auto"/>
        <w:right w:val="none" w:sz="0" w:space="0" w:color="auto"/>
      </w:divBdr>
    </w:div>
    <w:div w:id="1224681057">
      <w:bodyDiv w:val="1"/>
      <w:marLeft w:val="0"/>
      <w:marRight w:val="0"/>
      <w:marTop w:val="0"/>
      <w:marBottom w:val="0"/>
      <w:divBdr>
        <w:top w:val="none" w:sz="0" w:space="0" w:color="auto"/>
        <w:left w:val="none" w:sz="0" w:space="0" w:color="auto"/>
        <w:bottom w:val="none" w:sz="0" w:space="0" w:color="auto"/>
        <w:right w:val="none" w:sz="0" w:space="0" w:color="auto"/>
      </w:divBdr>
    </w:div>
    <w:div w:id="1248610296">
      <w:bodyDiv w:val="1"/>
      <w:marLeft w:val="0"/>
      <w:marRight w:val="0"/>
      <w:marTop w:val="0"/>
      <w:marBottom w:val="0"/>
      <w:divBdr>
        <w:top w:val="none" w:sz="0" w:space="0" w:color="auto"/>
        <w:left w:val="none" w:sz="0" w:space="0" w:color="auto"/>
        <w:bottom w:val="none" w:sz="0" w:space="0" w:color="auto"/>
        <w:right w:val="none" w:sz="0" w:space="0" w:color="auto"/>
      </w:divBdr>
    </w:div>
    <w:div w:id="1251231102">
      <w:bodyDiv w:val="1"/>
      <w:marLeft w:val="0"/>
      <w:marRight w:val="0"/>
      <w:marTop w:val="0"/>
      <w:marBottom w:val="0"/>
      <w:divBdr>
        <w:top w:val="none" w:sz="0" w:space="0" w:color="auto"/>
        <w:left w:val="none" w:sz="0" w:space="0" w:color="auto"/>
        <w:bottom w:val="none" w:sz="0" w:space="0" w:color="auto"/>
        <w:right w:val="none" w:sz="0" w:space="0" w:color="auto"/>
      </w:divBdr>
    </w:div>
    <w:div w:id="1360736284">
      <w:bodyDiv w:val="1"/>
      <w:marLeft w:val="0"/>
      <w:marRight w:val="0"/>
      <w:marTop w:val="0"/>
      <w:marBottom w:val="0"/>
      <w:divBdr>
        <w:top w:val="none" w:sz="0" w:space="0" w:color="auto"/>
        <w:left w:val="none" w:sz="0" w:space="0" w:color="auto"/>
        <w:bottom w:val="none" w:sz="0" w:space="0" w:color="auto"/>
        <w:right w:val="none" w:sz="0" w:space="0" w:color="auto"/>
      </w:divBdr>
    </w:div>
    <w:div w:id="1400134612">
      <w:bodyDiv w:val="1"/>
      <w:marLeft w:val="0"/>
      <w:marRight w:val="0"/>
      <w:marTop w:val="0"/>
      <w:marBottom w:val="0"/>
      <w:divBdr>
        <w:top w:val="none" w:sz="0" w:space="0" w:color="auto"/>
        <w:left w:val="none" w:sz="0" w:space="0" w:color="auto"/>
        <w:bottom w:val="none" w:sz="0" w:space="0" w:color="auto"/>
        <w:right w:val="none" w:sz="0" w:space="0" w:color="auto"/>
      </w:divBdr>
    </w:div>
    <w:div w:id="1434009038">
      <w:bodyDiv w:val="1"/>
      <w:marLeft w:val="0"/>
      <w:marRight w:val="0"/>
      <w:marTop w:val="0"/>
      <w:marBottom w:val="0"/>
      <w:divBdr>
        <w:top w:val="none" w:sz="0" w:space="0" w:color="auto"/>
        <w:left w:val="none" w:sz="0" w:space="0" w:color="auto"/>
        <w:bottom w:val="none" w:sz="0" w:space="0" w:color="auto"/>
        <w:right w:val="none" w:sz="0" w:space="0" w:color="auto"/>
      </w:divBdr>
      <w:divsChild>
        <w:div w:id="1132213848">
          <w:marLeft w:val="0"/>
          <w:marRight w:val="0"/>
          <w:marTop w:val="72"/>
          <w:marBottom w:val="0"/>
          <w:divBdr>
            <w:top w:val="none" w:sz="0" w:space="0" w:color="auto"/>
            <w:left w:val="none" w:sz="0" w:space="0" w:color="auto"/>
            <w:bottom w:val="none" w:sz="0" w:space="0" w:color="auto"/>
            <w:right w:val="none" w:sz="0" w:space="0" w:color="auto"/>
          </w:divBdr>
          <w:divsChild>
            <w:div w:id="354234854">
              <w:marLeft w:val="0"/>
              <w:marRight w:val="0"/>
              <w:marTop w:val="0"/>
              <w:marBottom w:val="0"/>
              <w:divBdr>
                <w:top w:val="none" w:sz="0" w:space="0" w:color="auto"/>
                <w:left w:val="none" w:sz="0" w:space="0" w:color="auto"/>
                <w:bottom w:val="none" w:sz="0" w:space="0" w:color="auto"/>
                <w:right w:val="none" w:sz="0" w:space="0" w:color="auto"/>
              </w:divBdr>
            </w:div>
            <w:div w:id="731272483">
              <w:marLeft w:val="360"/>
              <w:marRight w:val="0"/>
              <w:marTop w:val="72"/>
              <w:marBottom w:val="72"/>
              <w:divBdr>
                <w:top w:val="none" w:sz="0" w:space="0" w:color="auto"/>
                <w:left w:val="none" w:sz="0" w:space="0" w:color="auto"/>
                <w:bottom w:val="none" w:sz="0" w:space="0" w:color="auto"/>
                <w:right w:val="none" w:sz="0" w:space="0" w:color="auto"/>
              </w:divBdr>
              <w:divsChild>
                <w:div w:id="1780179769">
                  <w:marLeft w:val="0"/>
                  <w:marRight w:val="0"/>
                  <w:marTop w:val="0"/>
                  <w:marBottom w:val="0"/>
                  <w:divBdr>
                    <w:top w:val="none" w:sz="0" w:space="0" w:color="auto"/>
                    <w:left w:val="none" w:sz="0" w:space="0" w:color="auto"/>
                    <w:bottom w:val="none" w:sz="0" w:space="0" w:color="auto"/>
                    <w:right w:val="none" w:sz="0" w:space="0" w:color="auto"/>
                  </w:divBdr>
                </w:div>
              </w:divsChild>
            </w:div>
            <w:div w:id="45297868">
              <w:marLeft w:val="360"/>
              <w:marRight w:val="0"/>
              <w:marTop w:val="72"/>
              <w:marBottom w:val="72"/>
              <w:divBdr>
                <w:top w:val="none" w:sz="0" w:space="0" w:color="auto"/>
                <w:left w:val="none" w:sz="0" w:space="0" w:color="auto"/>
                <w:bottom w:val="none" w:sz="0" w:space="0" w:color="auto"/>
                <w:right w:val="none" w:sz="0" w:space="0" w:color="auto"/>
              </w:divBdr>
              <w:divsChild>
                <w:div w:id="917207419">
                  <w:marLeft w:val="0"/>
                  <w:marRight w:val="0"/>
                  <w:marTop w:val="0"/>
                  <w:marBottom w:val="0"/>
                  <w:divBdr>
                    <w:top w:val="none" w:sz="0" w:space="0" w:color="auto"/>
                    <w:left w:val="none" w:sz="0" w:space="0" w:color="auto"/>
                    <w:bottom w:val="none" w:sz="0" w:space="0" w:color="auto"/>
                    <w:right w:val="none" w:sz="0" w:space="0" w:color="auto"/>
                  </w:divBdr>
                </w:div>
              </w:divsChild>
            </w:div>
            <w:div w:id="2024046395">
              <w:marLeft w:val="360"/>
              <w:marRight w:val="0"/>
              <w:marTop w:val="72"/>
              <w:marBottom w:val="72"/>
              <w:divBdr>
                <w:top w:val="none" w:sz="0" w:space="0" w:color="auto"/>
                <w:left w:val="none" w:sz="0" w:space="0" w:color="auto"/>
                <w:bottom w:val="none" w:sz="0" w:space="0" w:color="auto"/>
                <w:right w:val="none" w:sz="0" w:space="0" w:color="auto"/>
              </w:divBdr>
              <w:divsChild>
                <w:div w:id="142351555">
                  <w:marLeft w:val="0"/>
                  <w:marRight w:val="0"/>
                  <w:marTop w:val="0"/>
                  <w:marBottom w:val="0"/>
                  <w:divBdr>
                    <w:top w:val="none" w:sz="0" w:space="0" w:color="auto"/>
                    <w:left w:val="none" w:sz="0" w:space="0" w:color="auto"/>
                    <w:bottom w:val="none" w:sz="0" w:space="0" w:color="auto"/>
                    <w:right w:val="none" w:sz="0" w:space="0" w:color="auto"/>
                  </w:divBdr>
                </w:div>
              </w:divsChild>
            </w:div>
            <w:div w:id="415056538">
              <w:marLeft w:val="360"/>
              <w:marRight w:val="0"/>
              <w:marTop w:val="72"/>
              <w:marBottom w:val="72"/>
              <w:divBdr>
                <w:top w:val="none" w:sz="0" w:space="0" w:color="auto"/>
                <w:left w:val="none" w:sz="0" w:space="0" w:color="auto"/>
                <w:bottom w:val="none" w:sz="0" w:space="0" w:color="auto"/>
                <w:right w:val="none" w:sz="0" w:space="0" w:color="auto"/>
              </w:divBdr>
              <w:divsChild>
                <w:div w:id="369190763">
                  <w:marLeft w:val="0"/>
                  <w:marRight w:val="0"/>
                  <w:marTop w:val="0"/>
                  <w:marBottom w:val="0"/>
                  <w:divBdr>
                    <w:top w:val="none" w:sz="0" w:space="0" w:color="auto"/>
                    <w:left w:val="none" w:sz="0" w:space="0" w:color="auto"/>
                    <w:bottom w:val="none" w:sz="0" w:space="0" w:color="auto"/>
                    <w:right w:val="none" w:sz="0" w:space="0" w:color="auto"/>
                  </w:divBdr>
                </w:div>
              </w:divsChild>
            </w:div>
            <w:div w:id="705373366">
              <w:marLeft w:val="360"/>
              <w:marRight w:val="0"/>
              <w:marTop w:val="72"/>
              <w:marBottom w:val="72"/>
              <w:divBdr>
                <w:top w:val="none" w:sz="0" w:space="0" w:color="auto"/>
                <w:left w:val="none" w:sz="0" w:space="0" w:color="auto"/>
                <w:bottom w:val="none" w:sz="0" w:space="0" w:color="auto"/>
                <w:right w:val="none" w:sz="0" w:space="0" w:color="auto"/>
              </w:divBdr>
              <w:divsChild>
                <w:div w:id="695421555">
                  <w:marLeft w:val="0"/>
                  <w:marRight w:val="0"/>
                  <w:marTop w:val="0"/>
                  <w:marBottom w:val="0"/>
                  <w:divBdr>
                    <w:top w:val="none" w:sz="0" w:space="0" w:color="auto"/>
                    <w:left w:val="none" w:sz="0" w:space="0" w:color="auto"/>
                    <w:bottom w:val="none" w:sz="0" w:space="0" w:color="auto"/>
                    <w:right w:val="none" w:sz="0" w:space="0" w:color="auto"/>
                  </w:divBdr>
                </w:div>
              </w:divsChild>
            </w:div>
            <w:div w:id="825631855">
              <w:marLeft w:val="360"/>
              <w:marRight w:val="0"/>
              <w:marTop w:val="72"/>
              <w:marBottom w:val="72"/>
              <w:divBdr>
                <w:top w:val="none" w:sz="0" w:space="0" w:color="auto"/>
                <w:left w:val="none" w:sz="0" w:space="0" w:color="auto"/>
                <w:bottom w:val="none" w:sz="0" w:space="0" w:color="auto"/>
                <w:right w:val="none" w:sz="0" w:space="0" w:color="auto"/>
              </w:divBdr>
              <w:divsChild>
                <w:div w:id="1718314900">
                  <w:marLeft w:val="0"/>
                  <w:marRight w:val="0"/>
                  <w:marTop w:val="0"/>
                  <w:marBottom w:val="0"/>
                  <w:divBdr>
                    <w:top w:val="none" w:sz="0" w:space="0" w:color="auto"/>
                    <w:left w:val="none" w:sz="0" w:space="0" w:color="auto"/>
                    <w:bottom w:val="none" w:sz="0" w:space="0" w:color="auto"/>
                    <w:right w:val="none" w:sz="0" w:space="0" w:color="auto"/>
                  </w:divBdr>
                </w:div>
              </w:divsChild>
            </w:div>
            <w:div w:id="1051464034">
              <w:marLeft w:val="360"/>
              <w:marRight w:val="0"/>
              <w:marTop w:val="72"/>
              <w:marBottom w:val="72"/>
              <w:divBdr>
                <w:top w:val="none" w:sz="0" w:space="0" w:color="auto"/>
                <w:left w:val="none" w:sz="0" w:space="0" w:color="auto"/>
                <w:bottom w:val="none" w:sz="0" w:space="0" w:color="auto"/>
                <w:right w:val="none" w:sz="0" w:space="0" w:color="auto"/>
              </w:divBdr>
              <w:divsChild>
                <w:div w:id="929314651">
                  <w:marLeft w:val="0"/>
                  <w:marRight w:val="0"/>
                  <w:marTop w:val="0"/>
                  <w:marBottom w:val="0"/>
                  <w:divBdr>
                    <w:top w:val="none" w:sz="0" w:space="0" w:color="auto"/>
                    <w:left w:val="none" w:sz="0" w:space="0" w:color="auto"/>
                    <w:bottom w:val="none" w:sz="0" w:space="0" w:color="auto"/>
                    <w:right w:val="none" w:sz="0" w:space="0" w:color="auto"/>
                  </w:divBdr>
                </w:div>
              </w:divsChild>
            </w:div>
            <w:div w:id="1969123327">
              <w:marLeft w:val="360"/>
              <w:marRight w:val="0"/>
              <w:marTop w:val="72"/>
              <w:marBottom w:val="72"/>
              <w:divBdr>
                <w:top w:val="none" w:sz="0" w:space="0" w:color="auto"/>
                <w:left w:val="none" w:sz="0" w:space="0" w:color="auto"/>
                <w:bottom w:val="none" w:sz="0" w:space="0" w:color="auto"/>
                <w:right w:val="none" w:sz="0" w:space="0" w:color="auto"/>
              </w:divBdr>
              <w:divsChild>
                <w:div w:id="170991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4331">
      <w:bodyDiv w:val="1"/>
      <w:marLeft w:val="0"/>
      <w:marRight w:val="0"/>
      <w:marTop w:val="0"/>
      <w:marBottom w:val="0"/>
      <w:divBdr>
        <w:top w:val="none" w:sz="0" w:space="0" w:color="auto"/>
        <w:left w:val="none" w:sz="0" w:space="0" w:color="auto"/>
        <w:bottom w:val="none" w:sz="0" w:space="0" w:color="auto"/>
        <w:right w:val="none" w:sz="0" w:space="0" w:color="auto"/>
      </w:divBdr>
    </w:div>
    <w:div w:id="1474372353">
      <w:bodyDiv w:val="1"/>
      <w:marLeft w:val="0"/>
      <w:marRight w:val="0"/>
      <w:marTop w:val="0"/>
      <w:marBottom w:val="0"/>
      <w:divBdr>
        <w:top w:val="none" w:sz="0" w:space="0" w:color="auto"/>
        <w:left w:val="none" w:sz="0" w:space="0" w:color="auto"/>
        <w:bottom w:val="none" w:sz="0" w:space="0" w:color="auto"/>
        <w:right w:val="none" w:sz="0" w:space="0" w:color="auto"/>
      </w:divBdr>
    </w:div>
    <w:div w:id="1481072367">
      <w:bodyDiv w:val="1"/>
      <w:marLeft w:val="0"/>
      <w:marRight w:val="0"/>
      <w:marTop w:val="0"/>
      <w:marBottom w:val="0"/>
      <w:divBdr>
        <w:top w:val="none" w:sz="0" w:space="0" w:color="auto"/>
        <w:left w:val="none" w:sz="0" w:space="0" w:color="auto"/>
        <w:bottom w:val="none" w:sz="0" w:space="0" w:color="auto"/>
        <w:right w:val="none" w:sz="0" w:space="0" w:color="auto"/>
      </w:divBdr>
    </w:div>
    <w:div w:id="1500727375">
      <w:bodyDiv w:val="1"/>
      <w:marLeft w:val="0"/>
      <w:marRight w:val="0"/>
      <w:marTop w:val="0"/>
      <w:marBottom w:val="0"/>
      <w:divBdr>
        <w:top w:val="none" w:sz="0" w:space="0" w:color="auto"/>
        <w:left w:val="none" w:sz="0" w:space="0" w:color="auto"/>
        <w:bottom w:val="none" w:sz="0" w:space="0" w:color="auto"/>
        <w:right w:val="none" w:sz="0" w:space="0" w:color="auto"/>
      </w:divBdr>
    </w:div>
    <w:div w:id="1549952419">
      <w:bodyDiv w:val="1"/>
      <w:marLeft w:val="0"/>
      <w:marRight w:val="0"/>
      <w:marTop w:val="0"/>
      <w:marBottom w:val="0"/>
      <w:divBdr>
        <w:top w:val="none" w:sz="0" w:space="0" w:color="auto"/>
        <w:left w:val="none" w:sz="0" w:space="0" w:color="auto"/>
        <w:bottom w:val="none" w:sz="0" w:space="0" w:color="auto"/>
        <w:right w:val="none" w:sz="0" w:space="0" w:color="auto"/>
      </w:divBdr>
    </w:div>
    <w:div w:id="1647926799">
      <w:bodyDiv w:val="1"/>
      <w:marLeft w:val="0"/>
      <w:marRight w:val="0"/>
      <w:marTop w:val="0"/>
      <w:marBottom w:val="0"/>
      <w:divBdr>
        <w:top w:val="none" w:sz="0" w:space="0" w:color="auto"/>
        <w:left w:val="none" w:sz="0" w:space="0" w:color="auto"/>
        <w:bottom w:val="none" w:sz="0" w:space="0" w:color="auto"/>
        <w:right w:val="none" w:sz="0" w:space="0" w:color="auto"/>
      </w:divBdr>
    </w:div>
    <w:div w:id="1824615821">
      <w:bodyDiv w:val="1"/>
      <w:marLeft w:val="0"/>
      <w:marRight w:val="0"/>
      <w:marTop w:val="0"/>
      <w:marBottom w:val="0"/>
      <w:divBdr>
        <w:top w:val="none" w:sz="0" w:space="0" w:color="auto"/>
        <w:left w:val="none" w:sz="0" w:space="0" w:color="auto"/>
        <w:bottom w:val="none" w:sz="0" w:space="0" w:color="auto"/>
        <w:right w:val="none" w:sz="0" w:space="0" w:color="auto"/>
      </w:divBdr>
    </w:div>
    <w:div w:id="1853763308">
      <w:bodyDiv w:val="1"/>
      <w:marLeft w:val="0"/>
      <w:marRight w:val="0"/>
      <w:marTop w:val="0"/>
      <w:marBottom w:val="0"/>
      <w:divBdr>
        <w:top w:val="none" w:sz="0" w:space="0" w:color="auto"/>
        <w:left w:val="none" w:sz="0" w:space="0" w:color="auto"/>
        <w:bottom w:val="none" w:sz="0" w:space="0" w:color="auto"/>
        <w:right w:val="none" w:sz="0" w:space="0" w:color="auto"/>
      </w:divBdr>
    </w:div>
    <w:div w:id="1880239666">
      <w:bodyDiv w:val="1"/>
      <w:marLeft w:val="0"/>
      <w:marRight w:val="0"/>
      <w:marTop w:val="0"/>
      <w:marBottom w:val="0"/>
      <w:divBdr>
        <w:top w:val="none" w:sz="0" w:space="0" w:color="auto"/>
        <w:left w:val="none" w:sz="0" w:space="0" w:color="auto"/>
        <w:bottom w:val="none" w:sz="0" w:space="0" w:color="auto"/>
        <w:right w:val="none" w:sz="0" w:space="0" w:color="auto"/>
      </w:divBdr>
      <w:divsChild>
        <w:div w:id="1109541743">
          <w:marLeft w:val="0"/>
          <w:marRight w:val="0"/>
          <w:marTop w:val="240"/>
          <w:marBottom w:val="0"/>
          <w:divBdr>
            <w:top w:val="none" w:sz="0" w:space="0" w:color="auto"/>
            <w:left w:val="none" w:sz="0" w:space="0" w:color="auto"/>
            <w:bottom w:val="none" w:sz="0" w:space="0" w:color="auto"/>
            <w:right w:val="none" w:sz="0" w:space="0" w:color="auto"/>
          </w:divBdr>
        </w:div>
        <w:div w:id="170144708">
          <w:marLeft w:val="0"/>
          <w:marRight w:val="0"/>
          <w:marTop w:val="240"/>
          <w:marBottom w:val="0"/>
          <w:divBdr>
            <w:top w:val="none" w:sz="0" w:space="0" w:color="auto"/>
            <w:left w:val="none" w:sz="0" w:space="0" w:color="auto"/>
            <w:bottom w:val="none" w:sz="0" w:space="0" w:color="auto"/>
            <w:right w:val="none" w:sz="0" w:space="0" w:color="auto"/>
          </w:divBdr>
        </w:div>
      </w:divsChild>
    </w:div>
    <w:div w:id="1922372108">
      <w:bodyDiv w:val="1"/>
      <w:marLeft w:val="0"/>
      <w:marRight w:val="0"/>
      <w:marTop w:val="0"/>
      <w:marBottom w:val="0"/>
      <w:divBdr>
        <w:top w:val="none" w:sz="0" w:space="0" w:color="auto"/>
        <w:left w:val="none" w:sz="0" w:space="0" w:color="auto"/>
        <w:bottom w:val="none" w:sz="0" w:space="0" w:color="auto"/>
        <w:right w:val="none" w:sz="0" w:space="0" w:color="auto"/>
      </w:divBdr>
    </w:div>
    <w:div w:id="2072269270">
      <w:bodyDiv w:val="1"/>
      <w:marLeft w:val="0"/>
      <w:marRight w:val="0"/>
      <w:marTop w:val="0"/>
      <w:marBottom w:val="0"/>
      <w:divBdr>
        <w:top w:val="none" w:sz="0" w:space="0" w:color="auto"/>
        <w:left w:val="none" w:sz="0" w:space="0" w:color="auto"/>
        <w:bottom w:val="none" w:sz="0" w:space="0" w:color="auto"/>
        <w:right w:val="none" w:sz="0" w:space="0" w:color="auto"/>
      </w:divBdr>
    </w:div>
    <w:div w:id="2145343355">
      <w:bodyDiv w:val="1"/>
      <w:marLeft w:val="0"/>
      <w:marRight w:val="0"/>
      <w:marTop w:val="0"/>
      <w:marBottom w:val="0"/>
      <w:divBdr>
        <w:top w:val="none" w:sz="0" w:space="0" w:color="auto"/>
        <w:left w:val="none" w:sz="0" w:space="0" w:color="auto"/>
        <w:bottom w:val="none" w:sz="0" w:space="0" w:color="auto"/>
        <w:right w:val="none" w:sz="0" w:space="0" w:color="auto"/>
      </w:divBdr>
      <w:divsChild>
        <w:div w:id="1490244955">
          <w:marLeft w:val="0"/>
          <w:marRight w:val="0"/>
          <w:marTop w:val="240"/>
          <w:marBottom w:val="0"/>
          <w:divBdr>
            <w:top w:val="none" w:sz="0" w:space="0" w:color="auto"/>
            <w:left w:val="none" w:sz="0" w:space="0" w:color="auto"/>
            <w:bottom w:val="none" w:sz="0" w:space="0" w:color="auto"/>
            <w:right w:val="none" w:sz="0" w:space="0" w:color="auto"/>
          </w:divBdr>
        </w:div>
        <w:div w:id="63460364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E344-A28A-4946-AA5C-CEB1547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14598</Words>
  <Characters>87590</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101985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Kaniuka</dc:creator>
  <cp:lastModifiedBy>Autor</cp:lastModifiedBy>
  <cp:revision>2</cp:revision>
  <cp:lastPrinted>2021-10-11T13:00:00Z</cp:lastPrinted>
  <dcterms:created xsi:type="dcterms:W3CDTF">2026-04-01T11:06:00Z</dcterms:created>
  <dcterms:modified xsi:type="dcterms:W3CDTF">2026-04-01T11:06:00Z</dcterms:modified>
</cp:coreProperties>
</file>